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03366"/>
          <w:sz w:val="44"/>
        </w:rPr>
        <w:t>Multi-Tenant Healthcare Dynamic Identity &amp; Access Management (IAM)</w:t>
      </w:r>
    </w:p>
    <w:p>
      <w:pPr>
        <w:spacing w:before="0" w:after="400"/>
        <w:jc w:val="center"/>
      </w:pPr>
      <w:r>
        <w:rPr>
          <w:rFonts w:ascii="Arial" w:hAnsi="Arial"/>
          <w:i/>
          <w:color w:val="646464"/>
          <w:sz w:val="24"/>
        </w:rPr>
        <w:t>Part 2: Google Cloud Identity / Firebase Multi-Tenancy, Enterprise EHR Federation (SAML/OIDC/SCIM), API Gateway Security, &amp; Disaster Recovery</w:t>
      </w:r>
    </w:p>
    <w:p>
      <w:pPr>
        <w:pStyle w:val="Heading1"/>
        <w:spacing w:before="280" w:after="120"/>
      </w:pPr>
      <w:r>
        <w:rPr>
          <w:rFonts w:ascii="Arial" w:hAnsi="Arial"/>
          <w:b/>
          <w:color w:val="003366"/>
          <w:sz w:val="30"/>
        </w:rPr>
        <w:t>1. Google Cloud Identity Platform &amp; Firebase Auth Multi-Tenancy Architecture</w:t>
      </w:r>
    </w:p>
    <w:p>
      <w:pPr>
        <w:spacing w:before="0" w:after="120" w:line="276" w:lineRule="auto"/>
      </w:pPr>
      <w:r>
        <w:rPr>
          <w:rFonts w:ascii="Arial" w:hAnsi="Arial"/>
          <w:i w:val="0"/>
          <w:color w:val="282828"/>
          <w:sz w:val="20"/>
        </w:rPr>
        <w:t>When migrating away from hardcoded credentials to a fully managed cloud identity tier, Google Cloud Identity Platform (GCIP) / Firebase Authentication Multi-Tenancy provides cryptographic tenant isolation, native OIDC/SAML federated identity mapping, and enterprise SLAs backed by a signed Business Associate Agreement (BAA).</w:t>
      </w:r>
    </w:p>
    <w:p>
      <w:pPr>
        <w:spacing w:before="0" w:after="120" w:line="276" w:lineRule="auto"/>
      </w:pPr>
      <w:r>
        <w:rPr>
          <w:rFonts w:ascii="Arial" w:hAnsi="Arial"/>
          <w:b/>
          <w:color w:val="141414"/>
          <w:sz w:val="20"/>
        </w:rPr>
        <w:t xml:space="preserve">Tenant Engine: </w:t>
      </w:r>
      <w:r>
        <w:rPr>
          <w:rFonts w:ascii="Arial" w:hAnsi="Arial"/>
          <w:i w:val="0"/>
          <w:color w:val="282828"/>
          <w:sz w:val="20"/>
        </w:rPr>
        <w:t>1.1 Multi-Tenant Hierarchy &amp; Tenant Isolation Primitives</w:t>
      </w:r>
    </w:p>
    <w:p>
      <w:pPr>
        <w:spacing w:before="0" w:after="120" w:line="276" w:lineRule="auto"/>
      </w:pPr>
      <w:r>
        <w:rPr>
          <w:rFonts w:ascii="Arial" w:hAnsi="Arial"/>
          <w:i w:val="0"/>
          <w:color w:val="282828"/>
          <w:sz w:val="20"/>
        </w:rPr>
        <w:t>In Google Cloud Identity Platform, each hospital organization is modeled as a distinct, cryptographically isolated `Tenant` under a parent Google Cloud Project. Each tenant maintains its own identity providers, user directory, and password policies. User UIDs in Tenant A are fully segregated from Tenant B, preventing any cross-tenant authentication leakage.</w:t>
      </w:r>
    </w:p>
    <w:tbl>
      <w:tblPr>
        <w:tblW w:type="auto" w:w="0"/>
        <w:jc w:val="center"/>
        <w:tblLook w:firstColumn="1" w:firstRow="1" w:lastColumn="0" w:lastRow="0" w:noHBand="0" w:noVBand="1" w:val="04A0"/>
      </w:tblPr>
      <w:tblGrid>
        <w:gridCol w:w="9360"/>
      </w:tblGrid>
      <w:tr>
        <w:tc>
          <w:tcPr>
            <w:tcW w:type="dxa" w:w="9360"/>
            <w:shd w:fill="F4F6F9"/>
          </w:tcPr>
          <w:p>
            <w:pPr>
              <w:spacing w:before="80" w:after="80"/>
            </w:pPr>
            <w:r>
              <w:rPr>
                <w:rFonts w:ascii="Consolas" w:hAnsi="Consolas"/>
                <w:color w:val="1E1E1E"/>
                <w:sz w:val="17"/>
              </w:rPr>
              <w:t>// Node.js / TypeScript - Google Cloud Identity Platform Tenant Provisioning &amp; Auth Service</w:t>
              <w:br/>
              <w:t>import { initializeApp, cert } from 'firebase-admin/app';</w:t>
              <w:br/>
              <w:t>import { getAuth } from 'firebase-admin/auth';</w:t>
              <w:br/>
              <w:br/>
              <w:t>const app = initializeApp();</w:t>
              <w:br/>
              <w:t>const auth = getAuth(app);</w:t>
              <w:br/>
              <w:t>const tenantManager = auth.tenantManager();</w:t>
              <w:br/>
              <w:br/>
              <w:t>// 1. Provision an Autonomous Hospital Tenant</w:t>
              <w:br/>
              <w:t>export async function provisionHospitalTenant(hospitalSlug: string, displayName: string) {</w:t>
              <w:br/>
              <w:t xml:space="preserve">  const tenant = await tenantManager.createTenant({</w:t>
              <w:br/>
              <w:t xml:space="preserve">    displayName: `${displayName} (${hospitalSlug})`,</w:t>
              <w:br/>
              <w:t xml:space="preserve">    emailSignInConfig: {</w:t>
              <w:br/>
              <w:t xml:space="preserve">      enabled: true,</w:t>
              <w:br/>
              <w:t xml:space="preserve">      passwordRequired: true</w:t>
              <w:br/>
              <w:t xml:space="preserve">    },</w:t>
              <w:br/>
              <w:t xml:space="preserve">    mfaConfig: {</w:t>
              <w:br/>
              <w:t xml:space="preserve">      state: 'ENFORCED',</w:t>
              <w:br/>
              <w:t xml:space="preserve">      enabledProviders: ['PHONE_SMS', 'TOTP']</w:t>
              <w:br/>
              <w:t xml:space="preserve">    },</w:t>
              <w:br/>
              <w:t xml:space="preserve">    testPhoneNumbers: {}</w:t>
              <w:br/>
              <w:t xml:space="preserve">  });</w:t>
              <w:br/>
              <w:br/>
              <w:t xml:space="preserve">  return tenant.tenantId; // e.g., 'hospital-alpha-9x7k2'</w:t>
              <w:br/>
              <w:t>}</w:t>
              <w:br/>
              <w:br/>
              <w:t>// 2. Tenant-Scoped User Creation with Custom Claims (RBAC/ABAC)</w:t>
              <w:br/>
              <w:t>export async function createTenantStaffUser(</w:t>
              <w:br/>
              <w:t xml:space="preserve">  tenantId: string,</w:t>
              <w:br/>
              <w:t xml:space="preserve">  email: string,</w:t>
              <w:br/>
              <w:t xml:space="preserve">  fullName: string,</w:t>
              <w:br/>
              <w:t xml:space="preserve">  roles: string[],</w:t>
              <w:br/>
              <w:t xml:space="preserve">  permissions: string[]</w:t>
              <w:br/>
              <w:t>) {</w:t>
              <w:br/>
              <w:t xml:space="preserve">  const tenantAuth = tenantManager.authForTenant(tenantId);</w:t>
              <w:br/>
              <w:t xml:space="preserve">  </w:t>
              <w:br/>
              <w:t xml:space="preserve">  // Create user within tenant scope</w:t>
              <w:br/>
              <w:t xml:space="preserve">  const userRecord = await tenantAuth.createUser({</w:t>
              <w:br/>
              <w:t xml:space="preserve">    email,</w:t>
              <w:br/>
              <w:t xml:space="preserve">    displayName: fullName,</w:t>
              <w:br/>
              <w:t xml:space="preserve">    emailVerified: true</w:t>
              <w:br/>
              <w:t xml:space="preserve">  });</w:t>
              <w:br/>
              <w:br/>
              <w:t xml:space="preserve">  // Inject granular custom claims for downstream microservice verification</w:t>
              <w:br/>
              <w:t xml:space="preserve">  const customClaims = {</w:t>
              <w:br/>
              <w:t xml:space="preserve">    tenant_id: tenantId,</w:t>
              <w:br/>
              <w:t xml:space="preserve">    roles,</w:t>
              <w:br/>
              <w:t xml:space="preserve">    permissions,</w:t>
              <w:br/>
              <w:t xml:space="preserve">    ephi_access_level: 'CLINICAL_RESTRICTED',</w:t>
              <w:br/>
              <w:t xml:space="preserve">    iat: Math.floor(Date.now() / 1000)</w:t>
              <w:br/>
              <w:t xml:space="preserve">  };</w:t>
              <w:br/>
              <w:br/>
              <w:t xml:space="preserve">  await tenantAuth.setCustomUserClaims(userRecord.uid, customClaims);</w:t>
              <w:br/>
              <w:t xml:space="preserve">  return userRecord;</w:t>
              <w:br/>
              <w:t>}</w:t>
            </w:r>
          </w:p>
        </w:tc>
      </w:tr>
    </w:tbl>
    <w:p>
      <w:pPr>
        <w:spacing w:after="80"/>
      </w:pPr>
    </w:p>
    <w:p>
      <w:pPr>
        <w:spacing w:before="0" w:after="120" w:line="276" w:lineRule="auto"/>
      </w:pPr>
      <w:r>
        <w:rPr>
          <w:rFonts w:ascii="Arial" w:hAnsi="Arial"/>
          <w:b/>
          <w:color w:val="141414"/>
          <w:sz w:val="20"/>
        </w:rPr>
        <w:t xml:space="preserve">Database Linking: </w:t>
      </w:r>
      <w:r>
        <w:rPr>
          <w:rFonts w:ascii="Arial" w:hAnsi="Arial"/>
          <w:i w:val="0"/>
          <w:color w:val="282828"/>
          <w:sz w:val="20"/>
        </w:rPr>
        <w:t>1.2 Google Cloud IAM &amp; Cloud SQL / PostgreSQL Token-Based Linking</w:t>
      </w:r>
    </w:p>
    <w:p>
      <w:pPr>
        <w:spacing w:before="0" w:after="120" w:line="276" w:lineRule="auto"/>
      </w:pPr>
      <w:r>
        <w:rPr>
          <w:rFonts w:ascii="Arial" w:hAnsi="Arial"/>
          <w:i w:val="0"/>
          <w:color w:val="282828"/>
          <w:sz w:val="20"/>
        </w:rPr>
        <w:t>To connect the application tier to PostgreSQL without embedding database passwords, the microservices authenticate to Google Cloud SQL via Cloud SQL IAM Database Authentication. Short-lived OAuth2 access tokens generated by the workload's Service Account identity are used to establish database connections. PostgreSQL maps the Service Account to an internal role, completely eliminating stored database passwords.</w:t>
      </w:r>
    </w:p>
    <w:p>
      <w:pPr>
        <w:pStyle w:val="Heading1"/>
        <w:spacing w:before="280" w:after="120"/>
      </w:pPr>
      <w:r>
        <w:rPr>
          <w:rFonts w:ascii="Arial" w:hAnsi="Arial"/>
          <w:b/>
          <w:color w:val="003366"/>
          <w:sz w:val="30"/>
        </w:rPr>
        <w:t>2. Enterprise Federated IAM: Google Workspace, Microsoft Entra ID &amp; EHR (Epic/Cerner)</w:t>
      </w:r>
    </w:p>
    <w:p>
      <w:pPr>
        <w:spacing w:before="0" w:after="120" w:line="276" w:lineRule="auto"/>
      </w:pPr>
      <w:r>
        <w:rPr>
          <w:rFonts w:ascii="Arial" w:hAnsi="Arial"/>
          <w:i w:val="0"/>
          <w:color w:val="282828"/>
          <w:sz w:val="20"/>
        </w:rPr>
        <w:t>Hospitals rarely manage manual user credentials within third-party SaaS platforms. Modern clinical workflows mandate Single Sign-On (SSO) federated directly with hospital Enterprise Identity Providers (IdPs) and Electronic Health Record (EHR) suites.</w:t>
      </w:r>
    </w:p>
    <w:p>
      <w:pPr>
        <w:spacing w:before="0" w:after="120" w:line="276" w:lineRule="auto"/>
      </w:pPr>
      <w:r>
        <w:rPr>
          <w:rFonts w:ascii="Arial" w:hAnsi="Arial"/>
          <w:b/>
          <w:color w:val="141414"/>
          <w:sz w:val="20"/>
        </w:rPr>
        <w:t xml:space="preserve">Federation Flow: </w:t>
      </w:r>
      <w:r>
        <w:rPr>
          <w:rFonts w:ascii="Arial" w:hAnsi="Arial"/>
          <w:i w:val="0"/>
          <w:color w:val="282828"/>
          <w:sz w:val="20"/>
        </w:rPr>
        <w:t>2.1 SAML 2.0 &amp; OIDC Federation Architecture</w:t>
      </w:r>
    </w:p>
    <w:p>
      <w:pPr>
        <w:spacing w:before="0" w:after="120" w:line="276" w:lineRule="auto"/>
      </w:pPr>
      <w:r>
        <w:rPr>
          <w:rFonts w:ascii="Arial" w:hAnsi="Arial"/>
          <w:i w:val="0"/>
          <w:color w:val="282828"/>
          <w:sz w:val="20"/>
        </w:rPr>
        <w:t>The IAM platform acts as a SAML 2.0 Service Provider (SP) and OpenID Connect Relying Party (RP). When clinical staff access `hospital-a.healthsaas.com`, the system intercepts the request, determines the tenant configuration, and initiates an SP-Initiated SAML/OIDC redirection to the hospital's Identity Provider (e.g., Google Workspace, Microsoft Entra ID, or PingFederate).</w:t>
      </w:r>
    </w:p>
    <w:tbl>
      <w:tblPr>
        <w:tblW w:type="auto" w:w="0"/>
        <w:jc w:val="center"/>
        <w:tblLook w:firstColumn="1" w:firstRow="1" w:lastColumn="0" w:lastRow="0" w:noHBand="0" w:noVBand="1" w:val="04A0"/>
      </w:tblPr>
      <w:tblGrid>
        <w:gridCol w:w="9360"/>
      </w:tblGrid>
      <w:tr>
        <w:tc>
          <w:tcPr>
            <w:tcW w:type="dxa" w:w="9360"/>
            <w:shd w:fill="F4F6F9"/>
          </w:tcPr>
          <w:p>
            <w:pPr>
              <w:spacing w:before="80" w:after="80"/>
            </w:pPr>
            <w:r>
              <w:rPr>
                <w:rFonts w:ascii="Consolas" w:hAnsi="Consolas"/>
                <w:color w:val="1E1E1E"/>
                <w:sz w:val="17"/>
              </w:rPr>
              <w:t>&lt;!-- SAML 2.0 Identity Provider Inbound Configuration (GCIP / SP Schema) --&gt;</w:t>
              <w:br/>
              <w:t xml:space="preserve">&lt;saml2p:AuthnRequest </w:t>
              <w:br/>
              <w:t xml:space="preserve">    xmlns:saml2p="urn:oasis:names:tc:SAML:2.0:protocol"</w:t>
              <w:br/>
              <w:t xml:space="preserve">    xmlns:saml2="urn:oasis:names:tc:SAML:2.0:assertion"</w:t>
              <w:br/>
              <w:t xml:space="preserve">    ID="_f8423e9a-7c22-4a09-90d1-0f7e4a13e2f1"</w:t>
              <w:br/>
              <w:t xml:space="preserve">    Version="2.0"</w:t>
              <w:br/>
              <w:t xml:space="preserve">    IssueInstant="2026-08-25T07:15:00Z"</w:t>
              <w:br/>
              <w:t xml:space="preserve">    Destination="https://accounts.google.com/o/saml2/idp?idpid=C03hospital"</w:t>
              <w:br/>
              <w:t xml:space="preserve">    AssertionConsumerServiceURL="https://auth.healthcloud-platform.com/__/auth/handler"</w:t>
              <w:br/>
              <w:t xml:space="preserve">    ProtocolBinding="urn:oasis:names:tc:SAML:2.0:bindings:HTTP-POST"&gt;</w:t>
              <w:br/>
              <w:t xml:space="preserve">    &lt;saml2:Issuer&gt;https://auth.healthcloud-platform.com/tenants/hospital-alpha-9x7k2&lt;/saml2:Issuer&gt;</w:t>
              <w:br/>
              <w:t xml:space="preserve">    &lt;saml2p:NameIDPolicy Format="urn:oasis:names:tc:SAML:1.1:nameid-format:emailAddress" AllowCreate="true"/&gt;</w:t>
              <w:br/>
              <w:t xml:space="preserve">    &lt;saml2p:RequestedAuthnContext Comparison="exact"&gt;</w:t>
              <w:br/>
              <w:t xml:space="preserve">        &lt;saml2:AuthnContextClassRef&gt;urn:oasis:names:tc:SAML:2.0:ac:classes:PasswordProtectedTransport&lt;/saml2:AuthnContextClassRef&gt;</w:t>
              <w:br/>
              <w:t xml:space="preserve">    &lt;/saml2p:RequestedAuthnContext&gt;</w:t>
              <w:br/>
              <w:t>&lt;/saml2p:AuthnRequest&gt;</w:t>
            </w:r>
          </w:p>
        </w:tc>
      </w:tr>
    </w:tbl>
    <w:p>
      <w:pPr>
        <w:spacing w:after="80"/>
      </w:pPr>
    </w:p>
    <w:p>
      <w:pPr>
        <w:spacing w:before="0" w:after="120" w:line="276" w:lineRule="auto"/>
      </w:pPr>
      <w:r>
        <w:rPr>
          <w:rFonts w:ascii="Arial" w:hAnsi="Arial"/>
          <w:b/>
          <w:color w:val="141414"/>
          <w:sz w:val="20"/>
        </w:rPr>
        <w:t xml:space="preserve">Clinical EHR Context: </w:t>
      </w:r>
      <w:r>
        <w:rPr>
          <w:rFonts w:ascii="Arial" w:hAnsi="Arial"/>
          <w:i w:val="0"/>
          <w:color w:val="282828"/>
          <w:sz w:val="20"/>
        </w:rPr>
        <w:t>2.2 EHR Smart-on-FHIR &amp; Epic/Cerner IAM Integration</w:t>
      </w:r>
    </w:p>
    <w:p>
      <w:pPr>
        <w:spacing w:before="0" w:after="120" w:line="276" w:lineRule="auto"/>
      </w:pPr>
      <w:r>
        <w:rPr>
          <w:rFonts w:ascii="Arial" w:hAnsi="Arial"/>
          <w:i w:val="0"/>
          <w:color w:val="282828"/>
          <w:sz w:val="20"/>
        </w:rPr>
        <w:t>For hospital workflows integrated directly into Electronic Health Records (Epic Hyperspace, Cerner Millennium), authentication follows the SMART on FHIR specification (HL7 FHIR OAuth2 Profile). The launch flow provides context-aware claims including `patient`, `encounter`, and `fhirUser` directly within the signed authorization token.</w:t>
      </w:r>
    </w:p>
    <w:p>
      <w:pPr>
        <w:pStyle w:val="Heading1"/>
        <w:spacing w:before="280" w:after="120"/>
      </w:pPr>
      <w:r>
        <w:rPr>
          <w:rFonts w:ascii="Arial" w:hAnsi="Arial"/>
          <w:b/>
          <w:color w:val="003366"/>
          <w:sz w:val="30"/>
        </w:rPr>
        <w:t>3. SCIM 2.0 (RFC 7643 / 7644) Lifecycle Automation &amp; Instant Deprovisioning</w:t>
      </w:r>
    </w:p>
    <w:p>
      <w:pPr>
        <w:spacing w:before="0" w:after="120" w:line="276" w:lineRule="auto"/>
      </w:pPr>
      <w:r>
        <w:rPr>
          <w:rFonts w:ascii="Arial" w:hAnsi="Arial"/>
          <w:i w:val="0"/>
          <w:color w:val="282828"/>
          <w:sz w:val="20"/>
        </w:rPr>
        <w:t>Under HIPAA § 164.308(a)(3)(ii)(C) (Termination Procedures), healthcare organizations must immediately revoke access upon an employee's termination. Relying on manual de-provisioning creates severe audit vulnerabilities. The IAM platform implements a complete SCIM 2.0 (System for Cross-domain Identity Management) REST server.</w:t>
      </w:r>
    </w:p>
    <w:tbl>
      <w:tblPr>
        <w:tblW w:type="auto" w:w="0"/>
        <w:jc w:val="center"/>
        <w:tblLook w:firstColumn="1" w:firstRow="1" w:lastColumn="0" w:lastRow="0" w:noHBand="0" w:noVBand="1" w:val="04A0"/>
      </w:tblPr>
      <w:tblGrid>
        <w:gridCol w:w="9360"/>
      </w:tblGrid>
      <w:tr>
        <w:tc>
          <w:tcPr>
            <w:tcW w:type="dxa" w:w="9360"/>
            <w:shd w:fill="F4F6F9"/>
          </w:tcPr>
          <w:p>
            <w:pPr>
              <w:spacing w:before="80" w:after="80"/>
            </w:pPr>
            <w:r>
              <w:rPr>
                <w:rFonts w:ascii="Consolas" w:hAnsi="Consolas"/>
                <w:color w:val="1E1E1E"/>
                <w:sz w:val="17"/>
              </w:rPr>
              <w:t>// Express.js / TypeScript - SCIM 2.0 User Lifecycle Provisioning &amp; Instant Deprovisioning</w:t>
              <w:br/>
              <w:t>import { Request, Response, Router } from 'express';</w:t>
              <w:br/>
              <w:t>import { db } from '../db';</w:t>
              <w:br/>
              <w:t>import { revokeAllUserSessions } from '../auth/session';</w:t>
              <w:br/>
              <w:br/>
              <w:t>const scimRouter = Router();</w:t>
              <w:br/>
              <w:br/>
              <w:t>// 1. SCIM POST /Users - Automated Employee Onboarding via Google Workspace / Entra ID SCIM</w:t>
              <w:br/>
              <w:t>scimRouter.post('/v2/tenants/:tenantId/Users', async (req: Request, res: Response) =&gt; {</w:t>
              <w:br/>
              <w:t xml:space="preserve">  const { tenantId } = req.params;</w:t>
              <w:br/>
              <w:t xml:space="preserve">  const { userName, name, emails, active, groups } = req.body;</w:t>
              <w:br/>
              <w:br/>
              <w:t xml:space="preserve">  const email = emails.find((e: any) =&gt; e.primary)?.value || userName;</w:t>
              <w:br/>
              <w:t xml:space="preserve">  const fullName = `${name.givenName} ${name.familyName}`;</w:t>
              <w:br/>
              <w:br/>
              <w:t xml:space="preserve">  // Provision within PostgreSQL multi-tenant tables</w:t>
              <w:br/>
              <w:t xml:space="preserve">  const user = await db.transaction(async (trx) =&gt; {</w:t>
              <w:br/>
              <w:t xml:space="preserve">    const [u] = await trx('users').insert({</w:t>
              <w:br/>
              <w:t xml:space="preserve">      email,</w:t>
              <w:br/>
              <w:t xml:space="preserve">      full_name: fullName,</w:t>
              <w:br/>
              <w:t xml:space="preserve">      is_active: active ?? true</w:t>
              <w:br/>
              <w:t xml:space="preserve">    }).returning('*');</w:t>
              <w:br/>
              <w:br/>
              <w:t xml:space="preserve">    await trx('user_tenants').insert({</w:t>
              <w:br/>
              <w:t xml:space="preserve">      user_id: u.user_id,</w:t>
              <w:br/>
              <w:t xml:space="preserve">      tenant_id: tenantId,</w:t>
              <w:br/>
              <w:t xml:space="preserve">      status: 'ACTIVE'</w:t>
              <w:br/>
              <w:t xml:space="preserve">    });</w:t>
              <w:br/>
              <w:br/>
              <w:t xml:space="preserve">    return u;</w:t>
              <w:br/>
              <w:t xml:space="preserve">  });</w:t>
              <w:br/>
              <w:br/>
              <w:t xml:space="preserve">  return res.status(201).json({</w:t>
              <w:br/>
              <w:t xml:space="preserve">    schemas: ['urn:ietf:params:scim:schemas:core:2.0:User'],</w:t>
              <w:br/>
              <w:t xml:space="preserve">    id: user.user_id,</w:t>
              <w:br/>
              <w:t xml:space="preserve">    userName: user.email,</w:t>
              <w:br/>
              <w:t xml:space="preserve">    active: user.is_active</w:t>
              <w:br/>
              <w:t xml:space="preserve">  });</w:t>
              <w:br/>
              <w:t>});</w:t>
              <w:br/>
              <w:br/>
              <w:t>// 2. SCIM PATCH /Users/:id - Instant Deprovisioning / Employment Termination</w:t>
              <w:br/>
              <w:t>scimRouter.patch('/v2/tenants/:tenantId/Users/:userId', async (req: Request, res: Response) =&gt; {</w:t>
              <w:br/>
              <w:t xml:space="preserve">  const { tenantId, userId } = req.params;</w:t>
              <w:br/>
              <w:t xml:space="preserve">  const { Operations } = req.body;</w:t>
              <w:br/>
              <w:br/>
              <w:t xml:space="preserve">  for (const op of Operations) {</w:t>
              <w:br/>
              <w:t xml:space="preserve">    if (op.op === 'replace' &amp;&amp; (op.path === 'active' || op.value?.active === false)) {</w:t>
              <w:br/>
              <w:t xml:space="preserve">      // Execute Immediate Revocation</w:t>
              <w:br/>
              <w:t xml:space="preserve">      await db('users').where({ user_id: userId }).update({ is_active: false });</w:t>
              <w:br/>
              <w:t xml:space="preserve">      await db('user_tenants').where({ user_id: userId, tenant_id: tenantId }).update({ status: 'REVOKED' });</w:t>
              <w:br/>
              <w:t xml:space="preserve">      </w:t>
              <w:br/>
              <w:t xml:space="preserve">      // Invalidate all active Redis refresh tokens &amp; clinical sessions instantly</w:t>
              <w:br/>
              <w:t xml:space="preserve">      await revokeAllUserSessions(userId);</w:t>
              <w:br/>
              <w:t xml:space="preserve">    }</w:t>
              <w:br/>
              <w:t xml:space="preserve">  }</w:t>
              <w:br/>
              <w:br/>
              <w:t xml:space="preserve">  return res.status(204).send();</w:t>
              <w:br/>
              <w:t>});</w:t>
            </w:r>
          </w:p>
        </w:tc>
      </w:tr>
    </w:tbl>
    <w:p>
      <w:pPr>
        <w:spacing w:after="80"/>
      </w:pPr>
    </w:p>
    <w:p>
      <w:pPr>
        <w:pStyle w:val="Heading1"/>
        <w:spacing w:before="280" w:after="120"/>
      </w:pPr>
      <w:r>
        <w:rPr>
          <w:rFonts w:ascii="Arial" w:hAnsi="Arial"/>
          <w:b/>
          <w:color w:val="003366"/>
          <w:sz w:val="30"/>
        </w:rPr>
        <w:t>4. Microservices API Gateway IAM Enforcement &amp; Distributed Rate Limiting</w:t>
      </w:r>
    </w:p>
    <w:p>
      <w:pPr>
        <w:spacing w:before="0" w:after="120" w:line="276" w:lineRule="auto"/>
      </w:pPr>
      <w:r>
        <w:rPr>
          <w:rFonts w:ascii="Arial" w:hAnsi="Arial"/>
          <w:i w:val="0"/>
          <w:color w:val="282828"/>
          <w:sz w:val="20"/>
        </w:rPr>
        <w:t>To protect internal microservices handling sensitive ePHI, an Edge API Gateway (Envoy / Kong) validates incoming cryptographic tokens before traffic ever enters the service mesh.</w:t>
      </w:r>
    </w:p>
    <w:p>
      <w:pPr>
        <w:spacing w:before="0" w:after="120" w:line="276" w:lineRule="auto"/>
      </w:pPr>
      <w:r>
        <w:rPr>
          <w:rFonts w:ascii="Arial" w:hAnsi="Arial"/>
          <w:b/>
          <w:color w:val="141414"/>
          <w:sz w:val="20"/>
        </w:rPr>
        <w:t xml:space="preserve">Performance &amp; Security: </w:t>
      </w:r>
      <w:r>
        <w:rPr>
          <w:rFonts w:ascii="Arial" w:hAnsi="Arial"/>
          <w:i w:val="0"/>
          <w:color w:val="282828"/>
          <w:sz w:val="20"/>
        </w:rPr>
        <w:t>4.1 Stateless Edge JWKS Validation</w:t>
      </w:r>
    </w:p>
    <w:p>
      <w:pPr>
        <w:spacing w:before="0" w:after="120" w:line="276" w:lineRule="auto"/>
      </w:pPr>
      <w:r>
        <w:rPr>
          <w:rFonts w:ascii="Arial" w:hAnsi="Arial"/>
          <w:i w:val="0"/>
          <w:color w:val="282828"/>
          <w:sz w:val="20"/>
        </w:rPr>
        <w:t>The API Gateway caches JSON Web Key Sets (JWKS) and verifies RS256/Ed25519 signatures statelessly in under 0.3 milliseconds. Microservices behind the gateway receive validated identity headers (`X-Tenant-ID`, `X-User-ID`, `X-User-Roles`), ensuring backend services do not have to repeat signature parsing overhead.</w:t>
      </w:r>
    </w:p>
    <w:p>
      <w:pPr>
        <w:spacing w:before="0" w:after="120" w:line="276" w:lineRule="auto"/>
      </w:pPr>
      <w:r>
        <w:rPr>
          <w:rFonts w:ascii="Arial" w:hAnsi="Arial"/>
          <w:b/>
          <w:color w:val="141414"/>
          <w:sz w:val="20"/>
        </w:rPr>
        <w:t xml:space="preserve">Brute-Force &amp; DoS Mitigation: </w:t>
      </w:r>
      <w:r>
        <w:rPr>
          <w:rFonts w:ascii="Arial" w:hAnsi="Arial"/>
          <w:i w:val="0"/>
          <w:color w:val="282828"/>
          <w:sz w:val="20"/>
        </w:rPr>
        <w:t>4.2 Distributed Token Bucket Rate Limiting (Redis)</w:t>
      </w:r>
    </w:p>
    <w:p>
      <w:pPr>
        <w:spacing w:before="0" w:after="120" w:line="276" w:lineRule="auto"/>
      </w:pPr>
      <w:r>
        <w:rPr>
          <w:rFonts w:ascii="Arial" w:hAnsi="Arial"/>
          <w:i w:val="0"/>
          <w:color w:val="282828"/>
          <w:sz w:val="20"/>
        </w:rPr>
        <w:t>To prevent credential stuffing and brute-force attacks across hospital endpoints, distributed rate-limiting is enforced via Redis at the gateway tier:</w:t>
      </w:r>
    </w:p>
    <w:p>
      <w:pPr>
        <w:spacing w:before="0" w:after="120" w:line="276" w:lineRule="auto"/>
      </w:pPr>
      <w:r>
        <w:rPr>
          <w:rFonts w:ascii="Arial" w:hAnsi="Arial"/>
          <w:i w:val="0"/>
          <w:color w:val="282828"/>
          <w:sz w:val="20"/>
        </w:rPr>
        <w:t>• Authentication Endpoints (`/api/v1/auth/*`): Max 5 requests/minute per source IP; Max 10 failed attempts/hour per target email before triggering an account lock.</w:t>
        <w:br/>
        <w:t>• Clinical Data Endpoints (`/api/v1/patients/*`): Token Bucket with capacity = 100 req/sec per tenant, burst capacity = 150 req/sec.</w:t>
      </w:r>
    </w:p>
    <w:p>
      <w:pPr>
        <w:pStyle w:val="Heading1"/>
        <w:spacing w:before="280" w:after="120"/>
      </w:pPr>
      <w:r>
        <w:rPr>
          <w:rFonts w:ascii="Arial" w:hAnsi="Arial"/>
          <w:b/>
          <w:color w:val="003366"/>
          <w:sz w:val="30"/>
        </w:rPr>
        <w:t>5. High Availability, Active-Active Replication &amp; Offline EHR Emergency Failover</w:t>
      </w:r>
    </w:p>
    <w:p>
      <w:pPr>
        <w:spacing w:before="0" w:after="120" w:line="276" w:lineRule="auto"/>
      </w:pPr>
      <w:r>
        <w:rPr>
          <w:rFonts w:ascii="Arial" w:hAnsi="Arial"/>
          <w:b/>
          <w:color w:val="141414"/>
          <w:sz w:val="20"/>
        </w:rPr>
        <w:t xml:space="preserve">Resilience: </w:t>
      </w:r>
      <w:r>
        <w:rPr>
          <w:rFonts w:ascii="Arial" w:hAnsi="Arial"/>
          <w:i w:val="0"/>
          <w:color w:val="282828"/>
          <w:sz w:val="20"/>
        </w:rPr>
        <w:t>5.1 Multi-Region Active-Active Replication &amp; Database Quorum</w:t>
      </w:r>
    </w:p>
    <w:p>
      <w:pPr>
        <w:spacing w:before="0" w:after="120" w:line="276" w:lineRule="auto"/>
      </w:pPr>
      <w:r>
        <w:rPr>
          <w:rFonts w:ascii="Arial" w:hAnsi="Arial"/>
          <w:i w:val="0"/>
          <w:color w:val="282828"/>
          <w:sz w:val="20"/>
        </w:rPr>
        <w:t>Healthcare systems require 99.999% availability. PostgreSQL clusters are deployed across multiple cloud availability zones and regions using synchronous streaming replication for write safety, with Raft/etcd-managed automated failover (Patroni) ensuring a Recovery Point Objective (RPO) = 0 and Recovery Time Objective (RTO) &lt; 15 seconds.</w:t>
      </w:r>
    </w:p>
    <w:p>
      <w:pPr>
        <w:spacing w:before="0" w:after="120" w:line="276" w:lineRule="auto"/>
      </w:pPr>
      <w:r>
        <w:rPr>
          <w:rFonts w:ascii="Arial" w:hAnsi="Arial"/>
          <w:b/>
          <w:color w:val="141414"/>
          <w:sz w:val="20"/>
        </w:rPr>
        <w:t xml:space="preserve">Life-Safety Safeguard: </w:t>
      </w:r>
      <w:r>
        <w:rPr>
          <w:rFonts w:ascii="Arial" w:hAnsi="Arial"/>
          <w:i w:val="0"/>
          <w:color w:val="282828"/>
          <w:sz w:val="20"/>
        </w:rPr>
        <w:t>5.2 Clinical Emergency 'Code Red' Offline Failover Mode</w:t>
      </w:r>
    </w:p>
    <w:p>
      <w:pPr>
        <w:spacing w:before="0" w:after="120" w:line="276" w:lineRule="auto"/>
      </w:pPr>
      <w:r>
        <w:rPr>
          <w:rFonts w:ascii="Arial" w:hAnsi="Arial"/>
          <w:i w:val="0"/>
          <w:color w:val="282828"/>
          <w:sz w:val="20"/>
        </w:rPr>
        <w:t>During major wide-area cloud network outages or cyberattacks targeting primary WAN backbones, clinical workstations must retain emergency EHR charting capabilities:</w:t>
      </w:r>
    </w:p>
    <w:p>
      <w:pPr>
        <w:spacing w:before="0" w:after="120" w:line="276" w:lineRule="auto"/>
      </w:pPr>
      <w:r>
        <w:rPr>
          <w:rFonts w:ascii="Arial" w:hAnsi="Arial"/>
          <w:i w:val="0"/>
          <w:color w:val="282828"/>
          <w:sz w:val="20"/>
        </w:rPr>
        <w:t>1. Cryptographic Offline Passkeys: On-premises hospital gateway edge nodes cache a tamper-proof, asymmetric certificate signed by the central IAM engine.</w:t>
        <w:br/>
        <w:t>2. Emergency Offline Token Issuance: Local edge nodes can issue short-lived, locally verifiable tokens allowing hospital staff to access local emergency EHR records.</w:t>
        <w:br/>
        <w:t>3. Post-Restoration Audit Reconciliation: When connectivity is restored, all offline access events and cryptographic logs are streamed to the primary `audit_logs` cluster and flagged for mandatory administrative review.</w:t>
      </w:r>
    </w:p>
    <w:p>
      <w:pPr>
        <w:pStyle w:val="Heading1"/>
        <w:spacing w:before="280" w:after="120"/>
      </w:pPr>
      <w:r>
        <w:rPr>
          <w:rFonts w:ascii="Arial" w:hAnsi="Arial"/>
          <w:b/>
          <w:color w:val="003366"/>
          <w:sz w:val="30"/>
        </w:rPr>
        <w:t>6. Final Architectural Validation Matrix</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rFonts w:ascii="Arial" w:hAnsi="Arial"/>
                <w:b/>
                <w:color w:val="FFFFFF"/>
                <w:sz w:val="18"/>
              </w:rPr>
              <w:t>Security &amp; Operational Requirement</w:t>
            </w:r>
          </w:p>
        </w:tc>
        <w:tc>
          <w:tcPr>
            <w:tcW w:type="dxa" w:w="3120"/>
            <w:shd w:fill="003366"/>
          </w:tcPr>
          <w:p>
            <w:r>
              <w:rPr>
                <w:rFonts w:ascii="Arial" w:hAnsi="Arial"/>
                <w:b/>
                <w:color w:val="FFFFFF"/>
                <w:sz w:val="18"/>
              </w:rPr>
              <w:t>Legacy Prototype State</w:t>
            </w:r>
          </w:p>
        </w:tc>
        <w:tc>
          <w:tcPr>
            <w:tcW w:type="dxa" w:w="3120"/>
            <w:shd w:fill="003366"/>
          </w:tcPr>
          <w:p>
            <w:r>
              <w:rPr>
                <w:rFonts w:ascii="Arial" w:hAnsi="Arial"/>
                <w:b/>
                <w:color w:val="FFFFFF"/>
                <w:sz w:val="18"/>
              </w:rPr>
              <w:t>Target Modern Enterprise IAM State</w:t>
            </w:r>
          </w:p>
        </w:tc>
      </w:tr>
      <w:tr>
        <w:tc>
          <w:tcPr>
            <w:tcW w:type="dxa" w:w="3120"/>
            <w:shd w:fill="F8F9FA"/>
          </w:tcPr>
          <w:p>
            <w:r>
              <w:rPr>
                <w:rFonts w:ascii="Arial" w:hAnsi="Arial"/>
                <w:color w:val="282828"/>
                <w:sz w:val="17"/>
              </w:rPr>
              <w:t>Authentication Mechanism</w:t>
            </w:r>
          </w:p>
        </w:tc>
        <w:tc>
          <w:tcPr>
            <w:tcW w:type="dxa" w:w="3120"/>
            <w:shd w:fill="F8F9FA"/>
          </w:tcPr>
          <w:p>
            <w:r>
              <w:rPr>
                <w:rFonts w:ascii="Arial" w:hAnsi="Arial"/>
                <w:color w:val="282828"/>
                <w:sz w:val="17"/>
              </w:rPr>
              <w:t>Hardcoded static credential ('Admin123!').</w:t>
            </w:r>
          </w:p>
        </w:tc>
        <w:tc>
          <w:tcPr>
            <w:tcW w:type="dxa" w:w="3120"/>
            <w:shd w:fill="F8F9FA"/>
          </w:tcPr>
          <w:p>
            <w:r>
              <w:rPr>
                <w:rFonts w:ascii="Arial" w:hAnsi="Arial"/>
                <w:color w:val="282828"/>
                <w:sz w:val="17"/>
              </w:rPr>
              <w:t>Dynamic Argon2id + FIDO2 WebAuthn / SAML 2.0 / OIDC.</w:t>
            </w:r>
          </w:p>
        </w:tc>
      </w:tr>
      <w:tr>
        <w:tc>
          <w:tcPr>
            <w:tcW w:type="dxa" w:w="3120"/>
            <w:shd w:fill="FFFFFF"/>
          </w:tcPr>
          <w:p>
            <w:r>
              <w:rPr>
                <w:rFonts w:ascii="Arial" w:hAnsi="Arial"/>
                <w:color w:val="282828"/>
                <w:sz w:val="17"/>
              </w:rPr>
              <w:t>Multi-Tenant Isolation</w:t>
            </w:r>
          </w:p>
        </w:tc>
        <w:tc>
          <w:tcPr>
            <w:tcW w:type="dxa" w:w="3120"/>
            <w:shd w:fill="FFFFFF"/>
          </w:tcPr>
          <w:p>
            <w:r>
              <w:rPr>
                <w:rFonts w:ascii="Arial" w:hAnsi="Arial"/>
                <w:color w:val="282828"/>
                <w:sz w:val="17"/>
              </w:rPr>
              <w:t>None (Shared global administrative context).</w:t>
            </w:r>
          </w:p>
        </w:tc>
        <w:tc>
          <w:tcPr>
            <w:tcW w:type="dxa" w:w="3120"/>
            <w:shd w:fill="FFFFFF"/>
          </w:tcPr>
          <w:p>
            <w:r>
              <w:rPr>
                <w:rFonts w:ascii="Arial" w:hAnsi="Arial"/>
                <w:color w:val="282828"/>
                <w:sz w:val="17"/>
              </w:rPr>
              <w:t>PostgreSQL Row-Level Security (RLS) + Google Tenant Isolation.</w:t>
            </w:r>
          </w:p>
        </w:tc>
      </w:tr>
      <w:tr>
        <w:tc>
          <w:tcPr>
            <w:tcW w:type="dxa" w:w="3120"/>
            <w:shd w:fill="F8F9FA"/>
          </w:tcPr>
          <w:p>
            <w:r>
              <w:rPr>
                <w:rFonts w:ascii="Arial" w:hAnsi="Arial"/>
                <w:color w:val="282828"/>
                <w:sz w:val="17"/>
              </w:rPr>
              <w:t>Enterprise SSO Federation</w:t>
            </w:r>
          </w:p>
        </w:tc>
        <w:tc>
          <w:tcPr>
            <w:tcW w:type="dxa" w:w="3120"/>
            <w:shd w:fill="F8F9FA"/>
          </w:tcPr>
          <w:p>
            <w:r>
              <w:rPr>
                <w:rFonts w:ascii="Arial" w:hAnsi="Arial"/>
                <w:color w:val="282828"/>
                <w:sz w:val="17"/>
              </w:rPr>
              <w:t>Unsupported.</w:t>
            </w:r>
          </w:p>
        </w:tc>
        <w:tc>
          <w:tcPr>
            <w:tcW w:type="dxa" w:w="3120"/>
            <w:shd w:fill="F8F9FA"/>
          </w:tcPr>
          <w:p>
            <w:r>
              <w:rPr>
                <w:rFonts w:ascii="Arial" w:hAnsi="Arial"/>
                <w:color w:val="282828"/>
                <w:sz w:val="17"/>
              </w:rPr>
              <w:t>Google Workspace, Microsoft Entra ID, Epic/Cerner SMART-on-FHIR.</w:t>
            </w:r>
          </w:p>
        </w:tc>
      </w:tr>
      <w:tr>
        <w:tc>
          <w:tcPr>
            <w:tcW w:type="dxa" w:w="3120"/>
            <w:shd w:fill="FFFFFF"/>
          </w:tcPr>
          <w:p>
            <w:r>
              <w:rPr>
                <w:rFonts w:ascii="Arial" w:hAnsi="Arial"/>
                <w:color w:val="282828"/>
                <w:sz w:val="17"/>
              </w:rPr>
              <w:t>User Lifecycle Management</w:t>
            </w:r>
          </w:p>
        </w:tc>
        <w:tc>
          <w:tcPr>
            <w:tcW w:type="dxa" w:w="3120"/>
            <w:shd w:fill="FFFFFF"/>
          </w:tcPr>
          <w:p>
            <w:r>
              <w:rPr>
                <w:rFonts w:ascii="Arial" w:hAnsi="Arial"/>
                <w:color w:val="282828"/>
                <w:sz w:val="17"/>
              </w:rPr>
              <w:t>Manual in-code modifications.</w:t>
            </w:r>
          </w:p>
        </w:tc>
        <w:tc>
          <w:tcPr>
            <w:tcW w:type="dxa" w:w="3120"/>
            <w:shd w:fill="FFFFFF"/>
          </w:tcPr>
          <w:p>
            <w:r>
              <w:rPr>
                <w:rFonts w:ascii="Arial" w:hAnsi="Arial"/>
                <w:color w:val="282828"/>
                <w:sz w:val="17"/>
              </w:rPr>
              <w:t>Automated SCIM 2.0 real-time onboarding &amp; instant revocation.</w:t>
            </w:r>
          </w:p>
        </w:tc>
      </w:tr>
      <w:tr>
        <w:tc>
          <w:tcPr>
            <w:tcW w:type="dxa" w:w="3120"/>
            <w:shd w:fill="F8F9FA"/>
          </w:tcPr>
          <w:p>
            <w:r>
              <w:rPr>
                <w:rFonts w:ascii="Arial" w:hAnsi="Arial"/>
                <w:color w:val="282828"/>
                <w:sz w:val="17"/>
              </w:rPr>
              <w:t>HIPAA Audit &amp; Compliance</w:t>
            </w:r>
          </w:p>
        </w:tc>
        <w:tc>
          <w:tcPr>
            <w:tcW w:type="dxa" w:w="3120"/>
            <w:shd w:fill="F8F9FA"/>
          </w:tcPr>
          <w:p>
            <w:r>
              <w:rPr>
                <w:rFonts w:ascii="Arial" w:hAnsi="Arial"/>
                <w:color w:val="282828"/>
                <w:sz w:val="17"/>
              </w:rPr>
              <w:t>Fails § 164.312 (No unique ID, no audit trail).</w:t>
            </w:r>
          </w:p>
        </w:tc>
        <w:tc>
          <w:tcPr>
            <w:tcW w:type="dxa" w:w="3120"/>
            <w:shd w:fill="F8F9FA"/>
          </w:tcPr>
          <w:p>
            <w:r>
              <w:rPr>
                <w:rFonts w:ascii="Arial" w:hAnsi="Arial"/>
                <w:color w:val="282828"/>
                <w:sz w:val="17"/>
              </w:rPr>
              <w:t>Fully compliant (Immutable append-only audit trail, BAA bounded).</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B"/>
          </w:tcPr>
          <w:p>
            <w:pPr>
              <w:spacing w:before="120" w:after="120" w:line="276" w:lineRule="auto"/>
            </w:pPr>
            <w:r>
              <w:rPr>
                <w:rFonts w:ascii="Arial" w:hAnsi="Arial"/>
                <w:b/>
                <w:color w:val="004B8C"/>
                <w:sz w:val="20"/>
              </w:rPr>
              <w:t>[ARCHITECTURAL BLUEPRINT COMPLETE (FINAL)]</w:t>
              <w:br/>
            </w:r>
            <w:r>
              <w:rPr>
                <w:rFonts w:ascii="Arial" w:hAnsi="Arial"/>
                <w:color w:val="282828"/>
                <w:sz w:val="19"/>
              </w:rPr>
              <w:t>With the completion of Part 1 and Part 2, the architectural blueprint for migrating the platform from hardcoded prototypes to an enterprise-grade multi-tenant healthcare IAM engine is complete. No further parts are required.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