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4"/>
        </w:rPr>
        <w:t>TECHNICAL BLUEPRINT APPROVAL &amp; ARCHITECTURE SPECIFICATION</w:t>
      </w:r>
    </w:p>
    <w:p>
      <w:pPr>
        <w:spacing w:after="280"/>
        <w:jc w:val="center"/>
      </w:pPr>
      <w:r>
        <w:rPr>
          <w:rFonts w:ascii="Calibri" w:hAnsi="Calibri"/>
          <w:b/>
          <w:color w:val="0E7490"/>
          <w:sz w:val="24"/>
        </w:rPr>
        <w:t>Stack: Vite + React + Zustand (Client State) + TanStack Query (Server State) + FastAPI (Backend)</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1E293B"/>
            <w:tcMar>
              <w:top w:w="80" w:type="dxa"/>
              <w:bottom w:w="80" w:type="dxa"/>
              <w:left w:w="100" w:type="dxa"/>
              <w:right w:w="100" w:type="dxa"/>
            </w:tcMar>
          </w:tcPr>
          <w:p>
            <w:pPr>
              <w:jc w:val="left"/>
            </w:pPr>
            <w:r>
              <w:rPr>
                <w:rFonts w:ascii="Calibri" w:hAnsi="Calibri"/>
                <w:b/>
                <w:color w:val="FFFFFF"/>
                <w:sz w:val="19"/>
              </w:rPr>
              <w:t>Attribute</w:t>
            </w:r>
          </w:p>
        </w:tc>
        <w:tc>
          <w:tcPr>
            <w:tcW w:type="dxa" w:w="4608"/>
            <w:shd w:fill="1E293B"/>
            <w:tcMar>
              <w:top w:w="80" w:type="dxa"/>
              <w:bottom w:w="80" w:type="dxa"/>
              <w:left w:w="100" w:type="dxa"/>
              <w:right w:w="100" w:type="dxa"/>
            </w:tcMar>
          </w:tcPr>
          <w:p>
            <w:pPr>
              <w:jc w:val="left"/>
            </w:pPr>
            <w:r>
              <w:rPr>
                <w:rFonts w:ascii="Calibri" w:hAnsi="Calibri"/>
                <w:b/>
                <w:color w:val="FFFFFF"/>
                <w:sz w:val="19"/>
              </w:rPr>
              <w:t>Specification</w:t>
            </w:r>
          </w:p>
        </w:tc>
        <w:tc>
          <w:tcPr>
            <w:tcW w:type="dxa" w:w="3024"/>
            <w:shd w:fill="1E293B"/>
            <w:tcMar>
              <w:top w:w="80" w:type="dxa"/>
              <w:bottom w:w="80" w:type="dxa"/>
              <w:left w:w="100" w:type="dxa"/>
              <w:right w:w="100" w:type="dxa"/>
            </w:tcMar>
          </w:tcPr>
          <w:p>
            <w:pPr>
              <w:jc w:val="left"/>
            </w:pPr>
            <w:r>
              <w:rPr>
                <w:rFonts w:ascii="Calibri" w:hAnsi="Calibri"/>
                <w:b/>
                <w:color w:val="FFFFFF"/>
                <w:sz w:val="19"/>
              </w:rPr>
              <w:t>Governance Status</w:t>
            </w:r>
          </w:p>
        </w:tc>
      </w:tr>
      <w:tr>
        <w:tc>
          <w:tcPr>
            <w:tcW w:type="dxa" w:w="2304"/>
            <w:shd w:fill="FFFFFF"/>
            <w:tcMar>
              <w:top w:w="60" w:type="dxa"/>
              <w:bottom w:w="60" w:type="dxa"/>
              <w:left w:w="100" w:type="dxa"/>
              <w:right w:w="100" w:type="dxa"/>
            </w:tcMar>
          </w:tcPr>
          <w:p>
            <w:r>
              <w:rPr>
                <w:rFonts w:ascii="Calibri" w:hAnsi="Calibri"/>
                <w:color w:val="334155"/>
                <w:sz w:val="18"/>
              </w:rPr>
              <w:t>Verdict</w:t>
            </w:r>
          </w:p>
        </w:tc>
        <w:tc>
          <w:tcPr>
            <w:tcW w:type="dxa" w:w="4608"/>
            <w:shd w:fill="FFFFFF"/>
            <w:tcMar>
              <w:top w:w="60" w:type="dxa"/>
              <w:bottom w:w="60" w:type="dxa"/>
              <w:left w:w="100" w:type="dxa"/>
              <w:right w:w="100" w:type="dxa"/>
            </w:tcMar>
          </w:tcPr>
          <w:p>
            <w:r>
              <w:rPr>
                <w:rFonts w:ascii="Calibri" w:hAnsi="Calibri"/>
                <w:color w:val="334155"/>
                <w:sz w:val="18"/>
              </w:rPr>
              <w:t>APPROVED FOR IMMEDIATE EXECUTION</w:t>
            </w:r>
          </w:p>
        </w:tc>
        <w:tc>
          <w:tcPr>
            <w:tcW w:type="dxa" w:w="3024"/>
            <w:shd w:fill="FFFFFF"/>
            <w:tcMar>
              <w:top w:w="60" w:type="dxa"/>
              <w:bottom w:w="60" w:type="dxa"/>
              <w:left w:w="100" w:type="dxa"/>
              <w:right w:w="100" w:type="dxa"/>
            </w:tcMar>
          </w:tcPr>
          <w:p>
            <w:r>
              <w:rPr>
                <w:rFonts w:ascii="Calibri" w:hAnsi="Calibri"/>
                <w:color w:val="334155"/>
                <w:sz w:val="18"/>
              </w:rPr>
              <w:t>CONDITIONAL ON COMPLIANCE STANDARDS</w:t>
            </w:r>
          </w:p>
        </w:tc>
      </w:tr>
      <w:tr>
        <w:tc>
          <w:tcPr>
            <w:tcW w:type="dxa" w:w="2304"/>
            <w:shd w:fill="F8FAFC"/>
            <w:tcMar>
              <w:top w:w="60" w:type="dxa"/>
              <w:bottom w:w="60" w:type="dxa"/>
              <w:left w:w="100" w:type="dxa"/>
              <w:right w:w="100" w:type="dxa"/>
            </w:tcMar>
          </w:tcPr>
          <w:p>
            <w:r>
              <w:rPr>
                <w:rFonts w:ascii="Calibri" w:hAnsi="Calibri"/>
                <w:color w:val="334155"/>
                <w:sz w:val="18"/>
              </w:rPr>
              <w:t>Frontend Paradigm</w:t>
            </w:r>
          </w:p>
        </w:tc>
        <w:tc>
          <w:tcPr>
            <w:tcW w:type="dxa" w:w="4608"/>
            <w:shd w:fill="F8FAFC"/>
            <w:tcMar>
              <w:top w:w="60" w:type="dxa"/>
              <w:bottom w:w="60" w:type="dxa"/>
              <w:left w:w="100" w:type="dxa"/>
              <w:right w:w="100" w:type="dxa"/>
            </w:tcMar>
          </w:tcPr>
          <w:p>
            <w:r>
              <w:rPr>
                <w:rFonts w:ascii="Calibri" w:hAnsi="Calibri"/>
                <w:color w:val="334155"/>
                <w:sz w:val="18"/>
              </w:rPr>
              <w:t>Pure SPA (Vite + React 18/19 + TypeScript)</w:t>
            </w:r>
          </w:p>
        </w:tc>
        <w:tc>
          <w:tcPr>
            <w:tcW w:type="dxa" w:w="3024"/>
            <w:shd w:fill="F8FAFC"/>
            <w:tcMar>
              <w:top w:w="60" w:type="dxa"/>
              <w:bottom w:w="60" w:type="dxa"/>
              <w:left w:w="100" w:type="dxa"/>
              <w:right w:w="100" w:type="dxa"/>
            </w:tcMar>
          </w:tcPr>
          <w:p>
            <w:r>
              <w:rPr>
                <w:rFonts w:ascii="Calibri" w:hAnsi="Calibri"/>
                <w:color w:val="334155"/>
                <w:sz w:val="18"/>
              </w:rPr>
              <w:t>Decoupled Static Edge Delivery</w:t>
            </w:r>
          </w:p>
        </w:tc>
      </w:tr>
      <w:tr>
        <w:tc>
          <w:tcPr>
            <w:tcW w:type="dxa" w:w="2304"/>
            <w:shd w:fill="FFFFFF"/>
            <w:tcMar>
              <w:top w:w="60" w:type="dxa"/>
              <w:bottom w:w="60" w:type="dxa"/>
              <w:left w:w="100" w:type="dxa"/>
              <w:right w:w="100" w:type="dxa"/>
            </w:tcMar>
          </w:tcPr>
          <w:p>
            <w:r>
              <w:rPr>
                <w:rFonts w:ascii="Calibri" w:hAnsi="Calibri"/>
                <w:color w:val="334155"/>
                <w:sz w:val="18"/>
              </w:rPr>
              <w:t>Client State Layer</w:t>
            </w:r>
          </w:p>
        </w:tc>
        <w:tc>
          <w:tcPr>
            <w:tcW w:type="dxa" w:w="4608"/>
            <w:shd w:fill="FFFFFF"/>
            <w:tcMar>
              <w:top w:w="60" w:type="dxa"/>
              <w:bottom w:w="60" w:type="dxa"/>
              <w:left w:w="100" w:type="dxa"/>
              <w:right w:w="100" w:type="dxa"/>
            </w:tcMar>
          </w:tcPr>
          <w:p>
            <w:r>
              <w:rPr>
                <w:rFonts w:ascii="Calibri" w:hAnsi="Calibri"/>
                <w:color w:val="334155"/>
                <w:sz w:val="18"/>
              </w:rPr>
              <w:t>Zustand (Selective Subscriptions, Slice Pattern)</w:t>
            </w:r>
          </w:p>
        </w:tc>
        <w:tc>
          <w:tcPr>
            <w:tcW w:type="dxa" w:w="3024"/>
            <w:shd w:fill="FFFFFF"/>
            <w:tcMar>
              <w:top w:w="60" w:type="dxa"/>
              <w:bottom w:w="60" w:type="dxa"/>
              <w:left w:w="100" w:type="dxa"/>
              <w:right w:w="100" w:type="dxa"/>
            </w:tcMar>
          </w:tcPr>
          <w:p>
            <w:r>
              <w:rPr>
                <w:rFonts w:ascii="Calibri" w:hAnsi="Calibri"/>
                <w:color w:val="334155"/>
                <w:sz w:val="18"/>
              </w:rPr>
              <w:t>Ephemeral UI &amp; Session Flow Control</w:t>
            </w:r>
          </w:p>
        </w:tc>
      </w:tr>
      <w:tr>
        <w:tc>
          <w:tcPr>
            <w:tcW w:type="dxa" w:w="2304"/>
            <w:shd w:fill="F8FAFC"/>
            <w:tcMar>
              <w:top w:w="60" w:type="dxa"/>
              <w:bottom w:w="60" w:type="dxa"/>
              <w:left w:w="100" w:type="dxa"/>
              <w:right w:w="100" w:type="dxa"/>
            </w:tcMar>
          </w:tcPr>
          <w:p>
            <w:r>
              <w:rPr>
                <w:rFonts w:ascii="Calibri" w:hAnsi="Calibri"/>
                <w:color w:val="334155"/>
                <w:sz w:val="18"/>
              </w:rPr>
              <w:t>Server State Layer</w:t>
            </w:r>
          </w:p>
        </w:tc>
        <w:tc>
          <w:tcPr>
            <w:tcW w:type="dxa" w:w="4608"/>
            <w:shd w:fill="F8FAFC"/>
            <w:tcMar>
              <w:top w:w="60" w:type="dxa"/>
              <w:bottom w:w="60" w:type="dxa"/>
              <w:left w:w="100" w:type="dxa"/>
              <w:right w:w="100" w:type="dxa"/>
            </w:tcMar>
          </w:tcPr>
          <w:p>
            <w:r>
              <w:rPr>
                <w:rFonts w:ascii="Calibri" w:hAnsi="Calibri"/>
                <w:color w:val="334155"/>
                <w:sz w:val="18"/>
              </w:rPr>
              <w:t>TanStack Query v5 (Stale-While-Revalidate, Optimistic UI)</w:t>
            </w:r>
          </w:p>
        </w:tc>
        <w:tc>
          <w:tcPr>
            <w:tcW w:type="dxa" w:w="3024"/>
            <w:shd w:fill="F8FAFC"/>
            <w:tcMar>
              <w:top w:w="60" w:type="dxa"/>
              <w:bottom w:w="60" w:type="dxa"/>
              <w:left w:w="100" w:type="dxa"/>
              <w:right w:w="100" w:type="dxa"/>
            </w:tcMar>
          </w:tcPr>
          <w:p>
            <w:r>
              <w:rPr>
                <w:rFonts w:ascii="Calibri" w:hAnsi="Calibri"/>
                <w:color w:val="334155"/>
                <w:sz w:val="18"/>
              </w:rPr>
              <w:t>Async Remote Cache Ownership</w:t>
            </w:r>
          </w:p>
        </w:tc>
      </w:tr>
      <w:tr>
        <w:tc>
          <w:tcPr>
            <w:tcW w:type="dxa" w:w="2304"/>
            <w:shd w:fill="FFFFFF"/>
            <w:tcMar>
              <w:top w:w="60" w:type="dxa"/>
              <w:bottom w:w="60" w:type="dxa"/>
              <w:left w:w="100" w:type="dxa"/>
              <w:right w:w="100" w:type="dxa"/>
            </w:tcMar>
          </w:tcPr>
          <w:p>
            <w:r>
              <w:rPr>
                <w:rFonts w:ascii="Calibri" w:hAnsi="Calibri"/>
                <w:color w:val="334155"/>
                <w:sz w:val="18"/>
              </w:rPr>
              <w:t>Backend Architecture</w:t>
            </w:r>
          </w:p>
        </w:tc>
        <w:tc>
          <w:tcPr>
            <w:tcW w:type="dxa" w:w="4608"/>
            <w:shd w:fill="FFFFFF"/>
            <w:tcMar>
              <w:top w:w="60" w:type="dxa"/>
              <w:bottom w:w="60" w:type="dxa"/>
              <w:left w:w="100" w:type="dxa"/>
              <w:right w:w="100" w:type="dxa"/>
            </w:tcMar>
          </w:tcPr>
          <w:p>
            <w:r>
              <w:rPr>
                <w:rFonts w:ascii="Calibri" w:hAnsi="Calibri"/>
                <w:color w:val="334155"/>
                <w:sz w:val="18"/>
              </w:rPr>
              <w:t>FastAPI + Pydantic v2 + Async SQLAlchemy 2.0 / asyncpg</w:t>
            </w:r>
          </w:p>
        </w:tc>
        <w:tc>
          <w:tcPr>
            <w:tcW w:type="dxa" w:w="3024"/>
            <w:shd w:fill="FFFFFF"/>
            <w:tcMar>
              <w:top w:w="60" w:type="dxa"/>
              <w:bottom w:w="60" w:type="dxa"/>
              <w:left w:w="100" w:type="dxa"/>
              <w:right w:w="100" w:type="dxa"/>
            </w:tcMar>
          </w:tcPr>
          <w:p>
            <w:r>
              <w:rPr>
                <w:rFonts w:ascii="Calibri" w:hAnsi="Calibri"/>
                <w:color w:val="334155"/>
                <w:sz w:val="18"/>
              </w:rPr>
              <w:t>High-Throughput ASGI Event Loop</w:t>
            </w:r>
          </w:p>
        </w:tc>
      </w:tr>
      <w:tr>
        <w:tc>
          <w:tcPr>
            <w:tcW w:type="dxa" w:w="2304"/>
            <w:shd w:fill="F8FAFC"/>
            <w:tcMar>
              <w:top w:w="60" w:type="dxa"/>
              <w:bottom w:w="60" w:type="dxa"/>
              <w:left w:w="100" w:type="dxa"/>
              <w:right w:w="100" w:type="dxa"/>
            </w:tcMar>
          </w:tcPr>
          <w:p>
            <w:r>
              <w:rPr>
                <w:rFonts w:ascii="Calibri" w:hAnsi="Calibri"/>
                <w:color w:val="334155"/>
                <w:sz w:val="18"/>
              </w:rPr>
              <w:t>SSR Strategy</w:t>
            </w:r>
          </w:p>
        </w:tc>
        <w:tc>
          <w:tcPr>
            <w:tcW w:type="dxa" w:w="4608"/>
            <w:shd w:fill="F8FAFC"/>
            <w:tcMar>
              <w:top w:w="60" w:type="dxa"/>
              <w:bottom w:w="60" w:type="dxa"/>
              <w:left w:w="100" w:type="dxa"/>
              <w:right w:w="100" w:type="dxa"/>
            </w:tcMar>
          </w:tcPr>
          <w:p>
            <w:r>
              <w:rPr>
                <w:rFonts w:ascii="Calibri" w:hAnsi="Calibri"/>
                <w:color w:val="334155"/>
                <w:sz w:val="18"/>
              </w:rPr>
              <w:t>No SSR (Next.js Rejection Rationale Formally Accepted)</w:t>
            </w:r>
          </w:p>
        </w:tc>
        <w:tc>
          <w:tcPr>
            <w:tcW w:type="dxa" w:w="3024"/>
            <w:shd w:fill="F8FAFC"/>
            <w:tcMar>
              <w:top w:w="60" w:type="dxa"/>
              <w:bottom w:w="60" w:type="dxa"/>
              <w:left w:w="100" w:type="dxa"/>
              <w:right w:w="100" w:type="dxa"/>
            </w:tcMar>
          </w:tcPr>
          <w:p>
            <w:r>
              <w:rPr>
                <w:rFonts w:ascii="Calibri" w:hAnsi="Calibri"/>
                <w:color w:val="334155"/>
                <w:sz w:val="18"/>
              </w:rPr>
              <w:t>Clean Separation of Concerns Enforced</w:t>
            </w:r>
          </w:p>
        </w:tc>
      </w:tr>
      <w:tr>
        <w:tc>
          <w:tcPr>
            <w:tcW w:type="dxa" w:w="2304"/>
            <w:shd w:fill="FFFFFF"/>
            <w:tcMar>
              <w:top w:w="60" w:type="dxa"/>
              <w:bottom w:w="60" w:type="dxa"/>
              <w:left w:w="100" w:type="dxa"/>
              <w:right w:w="100" w:type="dxa"/>
            </w:tcMar>
          </w:tcPr>
          <w:p>
            <w:r>
              <w:rPr>
                <w:rFonts w:ascii="Calibri" w:hAnsi="Calibri"/>
                <w:color w:val="334155"/>
                <w:sz w:val="18"/>
              </w:rPr>
              <w:t>Security Posture</w:t>
            </w:r>
          </w:p>
        </w:tc>
        <w:tc>
          <w:tcPr>
            <w:tcW w:type="dxa" w:w="4608"/>
            <w:shd w:fill="FFFFFF"/>
            <w:tcMar>
              <w:top w:w="60" w:type="dxa"/>
              <w:bottom w:w="60" w:type="dxa"/>
              <w:left w:w="100" w:type="dxa"/>
              <w:right w:w="100" w:type="dxa"/>
            </w:tcMar>
          </w:tcPr>
          <w:p>
            <w:r>
              <w:rPr>
                <w:rFonts w:ascii="Calibri" w:hAnsi="Calibri"/>
                <w:color w:val="334155"/>
                <w:sz w:val="18"/>
              </w:rPr>
              <w:t>HttpOnly / SameSite Auth + Redis Rate Limiting + RBAC/ABAC</w:t>
            </w:r>
          </w:p>
        </w:tc>
        <w:tc>
          <w:tcPr>
            <w:tcW w:type="dxa" w:w="3024"/>
            <w:shd w:fill="FFFFFF"/>
            <w:tcMar>
              <w:top w:w="60" w:type="dxa"/>
              <w:bottom w:w="60" w:type="dxa"/>
              <w:left w:w="100" w:type="dxa"/>
              <w:right w:w="100" w:type="dxa"/>
            </w:tcMar>
          </w:tcPr>
          <w:p>
            <w:r>
              <w:rPr>
                <w:rFonts w:ascii="Calibri" w:hAnsi="Calibri"/>
                <w:color w:val="334155"/>
                <w:sz w:val="18"/>
              </w:rPr>
              <w:t>Hardened Against Advanced Threat Vectors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0F4F8"/>
            <w:tcMar>
              <w:top w:w="100" w:type="dxa"/>
              <w:bottom w:w="100" w:type="dxa"/>
              <w:left w:w="140" w:type="dxa"/>
              <w:right w:w="140" w:type="dxa"/>
            </w:tcMar>
            <w:tcBorders>
              <w:left w:val="single" w:sz="24" w:space="0" w:color="1E3A8A"/>
              <w:top w:val="none"/>
              <w:right w:val="none"/>
              <w:bottom w:val="none"/>
            </w:tcBorders>
          </w:tcPr>
          <w:p>
            <w:pPr>
              <w:spacing w:after="40"/>
            </w:pPr>
            <w:r>
              <w:rPr>
                <w:b/>
                <w:color w:val="1E3A8A"/>
                <w:sz w:val="19"/>
              </w:rPr>
              <w:t>■ EXECUTIVE APPROVAL SUMMARY</w:t>
              <w:br/>
            </w:r>
            <w:r>
              <w:rPr>
                <w:color w:val="334155"/>
                <w:sz w:val="19"/>
              </w:rPr>
              <w:t>The proposed technical blueprint representing a decoupled SPA (Vite + React) backed by an asynchronous Python microservice (FastAPI), with strict separation between client state (Zustand) and server state (TanStack Query), is formally APPROVED for production implementation. This architecture optimizes developer iteration speed, eliminates SSR runtime overheads, establishes pristine domain boundaries, and enables linear horizontal scalability.</w:t>
            </w:r>
          </w:p>
        </w:tc>
      </w:tr>
    </w:tbl>
    <w:p>
      <w:pPr>
        <w:spacing w:before="0" w:after="40"/>
      </w:pPr>
    </w:p>
    <w:p>
      <w:pPr>
        <w:keepNext/>
        <w:spacing w:before="280" w:after="80"/>
      </w:pPr>
      <w:r>
        <w:rPr>
          <w:rFonts w:ascii="Calibri" w:hAnsi="Calibri"/>
          <w:b/>
          <w:color w:val="0F172A"/>
          <w:sz w:val="30"/>
        </w:rPr>
        <w:t>1. Executive Rationale &amp; Strategic Framework Evaluation</w:t>
      </w:r>
    </w:p>
    <w:p>
      <w:pPr>
        <w:keepNext/>
        <w:spacing w:before="200" w:after="60"/>
      </w:pPr>
      <w:r>
        <w:rPr>
          <w:rFonts w:ascii="Calibri" w:hAnsi="Calibri"/>
          <w:b/>
          <w:color w:val="1E3A8A"/>
          <w:sz w:val="25"/>
        </w:rPr>
        <w:t>1.1. The Strategic Decision to Bypass Server-Side Rendering (Next.js)</w:t>
      </w:r>
    </w:p>
    <w:p>
      <w:r>
        <w:t>The architectural decision to bypass Next.js and server-side rendering (SSR) in favor of a client-side rendered (CSR) Single Page Application (SPA) on Vite is strategically sound and technically superior for high-velocity software engineering, SaaS platforms, complex data analytics consoles, internal portals, and authenticated dashboards. Below is the deconstructed rationale:</w:t>
      </w:r>
    </w:p>
    <w:p>
      <w:pPr>
        <w:pStyle w:val="ListBullet"/>
        <w:spacing w:after="60"/>
      </w:pPr>
      <w:r>
        <w:rPr>
          <w:b/>
          <w:color w:val="1E3A8A"/>
        </w:rPr>
        <w:t xml:space="preserve">Elimination of Node.js Runtime Fragility: </w:t>
      </w:r>
      <w:r>
        <w:rPr>
          <w:color w:val="334155"/>
        </w:rPr>
        <w:t>Next.js requires maintaining a production Node.js/Edge compute runtime layer for frontend rendering. This introduces edge cold-starts, memory leaks from uncleaned subscriptions, Node runtime security vulnerabilities, and complex infrastructure orchestration.</w:t>
      </w:r>
    </w:p>
    <w:p>
      <w:pPr>
        <w:pStyle w:val="ListBullet"/>
        <w:spacing w:after="60"/>
      </w:pPr>
      <w:r>
        <w:rPr>
          <w:b/>
          <w:color w:val="1E3A8A"/>
        </w:rPr>
        <w:t xml:space="preserve">Abolition of Hydration Mismatches &amp; Dual-Runtime Bugs: </w:t>
      </w:r>
      <w:r>
        <w:rPr>
          <w:color w:val="334155"/>
        </w:rPr>
        <w:t>Next.js introduces high cognitive friction through React Server Components (RSC), 'use client' boundaries, server-only environment leaks, and hydration mismatch errors caused by browser-specific APIs (e.g., localStorage, window, navigator). Vite SPA runs entirely in the browser context, eliminating dual-environment debugging.</w:t>
      </w:r>
    </w:p>
    <w:p>
      <w:pPr>
        <w:pStyle w:val="ListBullet"/>
        <w:spacing w:after="60"/>
      </w:pPr>
      <w:r>
        <w:rPr>
          <w:b/>
          <w:color w:val="1E3A8A"/>
        </w:rPr>
        <w:t xml:space="preserve">Vendor Lock-in and Cloud Hosting Autonomy: </w:t>
      </w:r>
      <w:r>
        <w:rPr>
          <w:color w:val="334155"/>
        </w:rPr>
        <w:t>Next.js features (ISR, Server Actions, Edge Middleware, Image Optimization) are deeply coupled to Vercel's proprietary platform. A Vite SPA compiles into deterministic, static HTML, CSS, and JS artifacts that can be distributed globally across S3, Cloudflare Pages, Fastly, or Nginx at virtually zero compute cost and infinite burst capacity.</w:t>
      </w:r>
    </w:p>
    <w:p>
      <w:pPr>
        <w:pStyle w:val="ListBullet"/>
        <w:spacing w:after="60"/>
      </w:pPr>
      <w:r>
        <w:rPr>
          <w:b/>
          <w:color w:val="1E3A8A"/>
        </w:rPr>
        <w:t xml:space="preserve">Clean Separation of Concerns: </w:t>
      </w:r>
      <w:r>
        <w:rPr>
          <w:color w:val="334155"/>
        </w:rPr>
        <w:t>By stripping rendering logic entirely from the backend and frontend hosting layer, FastAPI remains the single, authoritative source of truth for business logic, authentication, database persistence, and API contracts. The frontend remains a consumer of structured JSON over HTTP/WebSocket.</w:t>
      </w:r>
    </w:p>
    <w:p>
      <w:pPr>
        <w:keepNext/>
        <w:spacing w:before="200" w:after="60"/>
      </w:pPr>
      <w:r>
        <w:rPr>
          <w:rFonts w:ascii="Calibri" w:hAnsi="Calibri"/>
          <w:b/>
          <w:color w:val="1E3A8A"/>
          <w:sz w:val="25"/>
        </w:rPr>
        <w:t>1.2. Architecture Paradigm Comparison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E293B"/>
            <w:tcMar>
              <w:top w:w="80" w:type="dxa"/>
              <w:bottom w:w="80" w:type="dxa"/>
              <w:left w:w="100" w:type="dxa"/>
              <w:right w:w="100" w:type="dxa"/>
            </w:tcMar>
          </w:tcPr>
          <w:p>
            <w:pPr>
              <w:jc w:val="left"/>
            </w:pPr>
            <w:r>
              <w:rPr>
                <w:rFonts w:ascii="Calibri" w:hAnsi="Calibri"/>
                <w:b/>
                <w:color w:val="FFFFFF"/>
                <w:sz w:val="19"/>
              </w:rPr>
              <w:t>Architectural Dimension</w:t>
            </w:r>
          </w:p>
        </w:tc>
        <w:tc>
          <w:tcPr>
            <w:tcW w:type="dxa" w:w="2880"/>
            <w:shd w:fill="1E293B"/>
            <w:tcMar>
              <w:top w:w="80" w:type="dxa"/>
              <w:bottom w:w="80" w:type="dxa"/>
              <w:left w:w="100" w:type="dxa"/>
              <w:right w:w="100" w:type="dxa"/>
            </w:tcMar>
          </w:tcPr>
          <w:p>
            <w:pPr>
              <w:jc w:val="left"/>
            </w:pPr>
            <w:r>
              <w:rPr>
                <w:rFonts w:ascii="Calibri" w:hAnsi="Calibri"/>
                <w:b/>
                <w:color w:val="FFFFFF"/>
                <w:sz w:val="19"/>
              </w:rPr>
              <w:t>Vite SPA + FastAPI (Approved)</w:t>
            </w:r>
          </w:p>
        </w:tc>
        <w:tc>
          <w:tcPr>
            <w:tcW w:type="dxa" w:w="2736"/>
            <w:shd w:fill="1E293B"/>
            <w:tcMar>
              <w:top w:w="80" w:type="dxa"/>
              <w:bottom w:w="80" w:type="dxa"/>
              <w:left w:w="100" w:type="dxa"/>
              <w:right w:w="100" w:type="dxa"/>
            </w:tcMar>
          </w:tcPr>
          <w:p>
            <w:pPr>
              <w:jc w:val="left"/>
            </w:pPr>
            <w:r>
              <w:rPr>
                <w:rFonts w:ascii="Calibri" w:hAnsi="Calibri"/>
                <w:b/>
                <w:color w:val="FFFFFF"/>
                <w:sz w:val="19"/>
              </w:rPr>
              <w:t>Next.js App Router (Rejected)</w:t>
            </w:r>
          </w:p>
        </w:tc>
        <w:tc>
          <w:tcPr>
            <w:tcW w:type="dxa" w:w="2304"/>
            <w:shd w:fill="1E293B"/>
            <w:tcMar>
              <w:top w:w="80" w:type="dxa"/>
              <w:bottom w:w="80" w:type="dxa"/>
              <w:left w:w="100" w:type="dxa"/>
              <w:right w:w="100" w:type="dxa"/>
            </w:tcMar>
          </w:tcPr>
          <w:p>
            <w:pPr>
              <w:jc w:val="left"/>
            </w:pPr>
            <w:r>
              <w:rPr>
                <w:rFonts w:ascii="Calibri" w:hAnsi="Calibri"/>
                <w:b/>
                <w:color w:val="FFFFFF"/>
                <w:sz w:val="19"/>
              </w:rPr>
              <w:t>Traditional Monolith (Django/Rails)</w:t>
            </w:r>
          </w:p>
        </w:tc>
      </w:tr>
      <w:tr>
        <w:tc>
          <w:tcPr>
            <w:tcW w:type="dxa" w:w="2016"/>
            <w:shd w:fill="FFFFFF"/>
            <w:tcMar>
              <w:top w:w="60" w:type="dxa"/>
              <w:bottom w:w="60" w:type="dxa"/>
              <w:left w:w="100" w:type="dxa"/>
              <w:right w:w="100" w:type="dxa"/>
            </w:tcMar>
          </w:tcPr>
          <w:p>
            <w:r>
              <w:rPr>
                <w:rFonts w:ascii="Calibri" w:hAnsi="Calibri"/>
                <w:color w:val="334155"/>
                <w:sz w:val="18"/>
              </w:rPr>
              <w:t>Developer Velocity</w:t>
            </w:r>
          </w:p>
        </w:tc>
        <w:tc>
          <w:tcPr>
            <w:tcW w:type="dxa" w:w="2880"/>
            <w:shd w:fill="FFFFFF"/>
            <w:tcMar>
              <w:top w:w="60" w:type="dxa"/>
              <w:bottom w:w="60" w:type="dxa"/>
              <w:left w:w="100" w:type="dxa"/>
              <w:right w:w="100" w:type="dxa"/>
            </w:tcMar>
          </w:tcPr>
          <w:p>
            <w:r>
              <w:rPr>
                <w:rFonts w:ascii="Calibri" w:hAnsi="Calibri"/>
                <w:color w:val="334155"/>
                <w:sz w:val="18"/>
              </w:rPr>
              <w:t>Extremely High (Instant HMR, clean mental model)</w:t>
            </w:r>
          </w:p>
        </w:tc>
        <w:tc>
          <w:tcPr>
            <w:tcW w:type="dxa" w:w="2736"/>
            <w:shd w:fill="FFFFFF"/>
            <w:tcMar>
              <w:top w:w="60" w:type="dxa"/>
              <w:bottom w:w="60" w:type="dxa"/>
              <w:left w:w="100" w:type="dxa"/>
              <w:right w:w="100" w:type="dxa"/>
            </w:tcMar>
          </w:tcPr>
          <w:p>
            <w:r>
              <w:rPr>
                <w:rFonts w:ascii="Calibri" w:hAnsi="Calibri"/>
                <w:color w:val="334155"/>
                <w:sz w:val="18"/>
              </w:rPr>
              <w:t>Medium-Low (Complex RSC/Client boundaries)</w:t>
            </w:r>
          </w:p>
        </w:tc>
        <w:tc>
          <w:tcPr>
            <w:tcW w:type="dxa" w:w="2304"/>
            <w:shd w:fill="FFFFFF"/>
            <w:tcMar>
              <w:top w:w="60" w:type="dxa"/>
              <w:bottom w:w="60" w:type="dxa"/>
              <w:left w:w="100" w:type="dxa"/>
              <w:right w:w="100" w:type="dxa"/>
            </w:tcMar>
          </w:tcPr>
          <w:p>
            <w:r>
              <w:rPr>
                <w:rFonts w:ascii="Calibri" w:hAnsi="Calibri"/>
                <w:color w:val="334155"/>
                <w:sz w:val="18"/>
              </w:rPr>
              <w:t>High initially, degrades with UI complexity</w:t>
            </w:r>
          </w:p>
        </w:tc>
      </w:tr>
      <w:tr>
        <w:tc>
          <w:tcPr>
            <w:tcW w:type="dxa" w:w="2016"/>
            <w:shd w:fill="F8FAFC"/>
            <w:tcMar>
              <w:top w:w="60" w:type="dxa"/>
              <w:bottom w:w="60" w:type="dxa"/>
              <w:left w:w="100" w:type="dxa"/>
              <w:right w:w="100" w:type="dxa"/>
            </w:tcMar>
          </w:tcPr>
          <w:p>
            <w:r>
              <w:rPr>
                <w:rFonts w:ascii="Calibri" w:hAnsi="Calibri"/>
                <w:color w:val="334155"/>
                <w:sz w:val="18"/>
              </w:rPr>
              <w:t>Infrastructure Complexity</w:t>
            </w:r>
          </w:p>
        </w:tc>
        <w:tc>
          <w:tcPr>
            <w:tcW w:type="dxa" w:w="2880"/>
            <w:shd w:fill="F8FAFC"/>
            <w:tcMar>
              <w:top w:w="60" w:type="dxa"/>
              <w:bottom w:w="60" w:type="dxa"/>
              <w:left w:w="100" w:type="dxa"/>
              <w:right w:w="100" w:type="dxa"/>
            </w:tcMar>
          </w:tcPr>
          <w:p>
            <w:r>
              <w:rPr>
                <w:rFonts w:ascii="Calibri" w:hAnsi="Calibri"/>
                <w:color w:val="334155"/>
                <w:sz w:val="18"/>
              </w:rPr>
              <w:t>Minimal (Static CDN + Containerized FastAPI)</w:t>
            </w:r>
          </w:p>
        </w:tc>
        <w:tc>
          <w:tcPr>
            <w:tcW w:type="dxa" w:w="2736"/>
            <w:shd w:fill="F8FAFC"/>
            <w:tcMar>
              <w:top w:w="60" w:type="dxa"/>
              <w:bottom w:w="60" w:type="dxa"/>
              <w:left w:w="100" w:type="dxa"/>
              <w:right w:w="100" w:type="dxa"/>
            </w:tcMar>
          </w:tcPr>
          <w:p>
            <w:r>
              <w:rPr>
                <w:rFonts w:ascii="Calibri" w:hAnsi="Calibri"/>
                <w:color w:val="334155"/>
                <w:sz w:val="18"/>
              </w:rPr>
              <w:t>High (Node cluster / Edge runtime + Backend API)</w:t>
            </w:r>
          </w:p>
        </w:tc>
        <w:tc>
          <w:tcPr>
            <w:tcW w:type="dxa" w:w="2304"/>
            <w:shd w:fill="F8FAFC"/>
            <w:tcMar>
              <w:top w:w="60" w:type="dxa"/>
              <w:bottom w:w="60" w:type="dxa"/>
              <w:left w:w="100" w:type="dxa"/>
              <w:right w:w="100" w:type="dxa"/>
            </w:tcMar>
          </w:tcPr>
          <w:p>
            <w:r>
              <w:rPr>
                <w:rFonts w:ascii="Calibri" w:hAnsi="Calibri"/>
                <w:color w:val="334155"/>
                <w:sz w:val="18"/>
              </w:rPr>
              <w:t>Moderate (Monolithic app cluster + static hosting)</w:t>
            </w:r>
          </w:p>
        </w:tc>
      </w:tr>
      <w:tr>
        <w:tc>
          <w:tcPr>
            <w:tcW w:type="dxa" w:w="2016"/>
            <w:shd w:fill="FFFFFF"/>
            <w:tcMar>
              <w:top w:w="60" w:type="dxa"/>
              <w:bottom w:w="60" w:type="dxa"/>
              <w:left w:w="100" w:type="dxa"/>
              <w:right w:w="100" w:type="dxa"/>
            </w:tcMar>
          </w:tcPr>
          <w:p>
            <w:r>
              <w:rPr>
                <w:rFonts w:ascii="Calibri" w:hAnsi="Calibri"/>
                <w:color w:val="334155"/>
                <w:sz w:val="18"/>
              </w:rPr>
              <w:t>Hosting &amp; Ingress Cost</w:t>
            </w:r>
          </w:p>
        </w:tc>
        <w:tc>
          <w:tcPr>
            <w:tcW w:type="dxa" w:w="2880"/>
            <w:shd w:fill="FFFFFF"/>
            <w:tcMar>
              <w:top w:w="60" w:type="dxa"/>
              <w:bottom w:w="60" w:type="dxa"/>
              <w:left w:w="100" w:type="dxa"/>
              <w:right w:w="100" w:type="dxa"/>
            </w:tcMar>
          </w:tcPr>
          <w:p>
            <w:r>
              <w:rPr>
                <w:rFonts w:ascii="Calibri" w:hAnsi="Calibri"/>
                <w:color w:val="334155"/>
                <w:sz w:val="18"/>
              </w:rPr>
              <w:t>Near Zero for Frontend (Cloudflare/S3) + API</w:t>
            </w:r>
          </w:p>
        </w:tc>
        <w:tc>
          <w:tcPr>
            <w:tcW w:type="dxa" w:w="2736"/>
            <w:shd w:fill="FFFFFF"/>
            <w:tcMar>
              <w:top w:w="60" w:type="dxa"/>
              <w:bottom w:w="60" w:type="dxa"/>
              <w:left w:w="100" w:type="dxa"/>
              <w:right w:w="100" w:type="dxa"/>
            </w:tcMar>
          </w:tcPr>
          <w:p>
            <w:r>
              <w:rPr>
                <w:rFonts w:ascii="Calibri" w:hAnsi="Calibri"/>
                <w:color w:val="334155"/>
                <w:sz w:val="18"/>
              </w:rPr>
              <w:t>High (Compute billing for SSR render cycles)</w:t>
            </w:r>
          </w:p>
        </w:tc>
        <w:tc>
          <w:tcPr>
            <w:tcW w:type="dxa" w:w="2304"/>
            <w:shd w:fill="FFFFFF"/>
            <w:tcMar>
              <w:top w:w="60" w:type="dxa"/>
              <w:bottom w:w="60" w:type="dxa"/>
              <w:left w:w="100" w:type="dxa"/>
              <w:right w:w="100" w:type="dxa"/>
            </w:tcMar>
          </w:tcPr>
          <w:p>
            <w:r>
              <w:rPr>
                <w:rFonts w:ascii="Calibri" w:hAnsi="Calibri"/>
                <w:color w:val="334155"/>
                <w:sz w:val="18"/>
              </w:rPr>
              <w:t>Moderate compute footprint</w:t>
            </w:r>
          </w:p>
        </w:tc>
      </w:tr>
      <w:tr>
        <w:tc>
          <w:tcPr>
            <w:tcW w:type="dxa" w:w="2016"/>
            <w:shd w:fill="F8FAFC"/>
            <w:tcMar>
              <w:top w:w="60" w:type="dxa"/>
              <w:bottom w:w="60" w:type="dxa"/>
              <w:left w:w="100" w:type="dxa"/>
              <w:right w:w="100" w:type="dxa"/>
            </w:tcMar>
          </w:tcPr>
          <w:p>
            <w:r>
              <w:rPr>
                <w:rFonts w:ascii="Calibri" w:hAnsi="Calibri"/>
                <w:color w:val="334155"/>
                <w:sz w:val="18"/>
              </w:rPr>
              <w:t>State Management Clarity</w:t>
            </w:r>
          </w:p>
        </w:tc>
        <w:tc>
          <w:tcPr>
            <w:tcW w:type="dxa" w:w="2880"/>
            <w:shd w:fill="F8FAFC"/>
            <w:tcMar>
              <w:top w:w="60" w:type="dxa"/>
              <w:bottom w:w="60" w:type="dxa"/>
              <w:left w:w="100" w:type="dxa"/>
              <w:right w:w="100" w:type="dxa"/>
            </w:tcMar>
          </w:tcPr>
          <w:p>
            <w:r>
              <w:rPr>
                <w:rFonts w:ascii="Calibri" w:hAnsi="Calibri"/>
                <w:color w:val="334155"/>
                <w:sz w:val="18"/>
              </w:rPr>
              <w:t>Absolute (Zustand for UI, TanStack for Cache)</w:t>
            </w:r>
          </w:p>
        </w:tc>
        <w:tc>
          <w:tcPr>
            <w:tcW w:type="dxa" w:w="2736"/>
            <w:shd w:fill="F8FAFC"/>
            <w:tcMar>
              <w:top w:w="60" w:type="dxa"/>
              <w:bottom w:w="60" w:type="dxa"/>
              <w:left w:w="100" w:type="dxa"/>
              <w:right w:w="100" w:type="dxa"/>
            </w:tcMar>
          </w:tcPr>
          <w:p>
            <w:r>
              <w:rPr>
                <w:rFonts w:ascii="Calibri" w:hAnsi="Calibri"/>
                <w:color w:val="334155"/>
                <w:sz w:val="18"/>
              </w:rPr>
              <w:t>Fragmented (RSC cache, Route cache, Client state)</w:t>
            </w:r>
          </w:p>
        </w:tc>
        <w:tc>
          <w:tcPr>
            <w:tcW w:type="dxa" w:w="2304"/>
            <w:shd w:fill="F8FAFC"/>
            <w:tcMar>
              <w:top w:w="60" w:type="dxa"/>
              <w:bottom w:w="60" w:type="dxa"/>
              <w:left w:w="100" w:type="dxa"/>
              <w:right w:w="100" w:type="dxa"/>
            </w:tcMar>
          </w:tcPr>
          <w:p>
            <w:r>
              <w:rPr>
                <w:rFonts w:ascii="Calibri" w:hAnsi="Calibri"/>
                <w:color w:val="334155"/>
                <w:sz w:val="18"/>
              </w:rPr>
              <w:t>Server session / DOM morphing</w:t>
            </w:r>
          </w:p>
        </w:tc>
      </w:tr>
      <w:tr>
        <w:tc>
          <w:tcPr>
            <w:tcW w:type="dxa" w:w="2016"/>
            <w:shd w:fill="FFFFFF"/>
            <w:tcMar>
              <w:top w:w="60" w:type="dxa"/>
              <w:bottom w:w="60" w:type="dxa"/>
              <w:left w:w="100" w:type="dxa"/>
              <w:right w:w="100" w:type="dxa"/>
            </w:tcMar>
          </w:tcPr>
          <w:p>
            <w:r>
              <w:rPr>
                <w:rFonts w:ascii="Calibri" w:hAnsi="Calibri"/>
                <w:color w:val="334155"/>
                <w:sz w:val="18"/>
              </w:rPr>
              <w:t>API Portability &amp; Reuse</w:t>
            </w:r>
          </w:p>
        </w:tc>
        <w:tc>
          <w:tcPr>
            <w:tcW w:type="dxa" w:w="2880"/>
            <w:shd w:fill="FFFFFF"/>
            <w:tcMar>
              <w:top w:w="60" w:type="dxa"/>
              <w:bottom w:w="60" w:type="dxa"/>
              <w:left w:w="100" w:type="dxa"/>
              <w:right w:w="100" w:type="dxa"/>
            </w:tcMar>
          </w:tcPr>
          <w:p>
            <w:r>
              <w:rPr>
                <w:rFonts w:ascii="Calibri" w:hAnsi="Calibri"/>
                <w:color w:val="334155"/>
                <w:sz w:val="18"/>
              </w:rPr>
              <w:t>100% reusable REST/WebSocket API across clients</w:t>
            </w:r>
          </w:p>
        </w:tc>
        <w:tc>
          <w:tcPr>
            <w:tcW w:type="dxa" w:w="2736"/>
            <w:shd w:fill="FFFFFF"/>
            <w:tcMar>
              <w:top w:w="60" w:type="dxa"/>
              <w:bottom w:w="60" w:type="dxa"/>
              <w:left w:w="100" w:type="dxa"/>
              <w:right w:w="100" w:type="dxa"/>
            </w:tcMar>
          </w:tcPr>
          <w:p>
            <w:r>
              <w:rPr>
                <w:rFonts w:ascii="Calibri" w:hAnsi="Calibri"/>
                <w:color w:val="334155"/>
                <w:sz w:val="18"/>
              </w:rPr>
              <w:t>Often tangled in Next.js Server Actions</w:t>
            </w:r>
          </w:p>
        </w:tc>
        <w:tc>
          <w:tcPr>
            <w:tcW w:type="dxa" w:w="2304"/>
            <w:shd w:fill="FFFFFF"/>
            <w:tcMar>
              <w:top w:w="60" w:type="dxa"/>
              <w:bottom w:w="60" w:type="dxa"/>
              <w:left w:w="100" w:type="dxa"/>
              <w:right w:w="100" w:type="dxa"/>
            </w:tcMar>
          </w:tcPr>
          <w:p>
            <w:r>
              <w:rPr>
                <w:rFonts w:ascii="Calibri" w:hAnsi="Calibri"/>
                <w:color w:val="334155"/>
                <w:sz w:val="18"/>
              </w:rPr>
              <w:t>Coupled tightly with server templates</w:t>
            </w:r>
          </w:p>
        </w:tc>
      </w:tr>
      <w:tr>
        <w:tc>
          <w:tcPr>
            <w:tcW w:type="dxa" w:w="2016"/>
            <w:shd w:fill="F8FAFC"/>
            <w:tcMar>
              <w:top w:w="60" w:type="dxa"/>
              <w:bottom w:w="60" w:type="dxa"/>
              <w:left w:w="100" w:type="dxa"/>
              <w:right w:w="100" w:type="dxa"/>
            </w:tcMar>
          </w:tcPr>
          <w:p>
            <w:r>
              <w:rPr>
                <w:rFonts w:ascii="Calibri" w:hAnsi="Calibri"/>
                <w:color w:val="334155"/>
                <w:sz w:val="18"/>
              </w:rPr>
              <w:t>SEO &amp; Public Indexing</w:t>
            </w:r>
          </w:p>
        </w:tc>
        <w:tc>
          <w:tcPr>
            <w:tcW w:type="dxa" w:w="2880"/>
            <w:shd w:fill="F8FAFC"/>
            <w:tcMar>
              <w:top w:w="60" w:type="dxa"/>
              <w:bottom w:w="60" w:type="dxa"/>
              <w:left w:w="100" w:type="dxa"/>
              <w:right w:w="100" w:type="dxa"/>
            </w:tcMar>
          </w:tcPr>
          <w:p>
            <w:r>
              <w:rPr>
                <w:rFonts w:ascii="Calibri" w:hAnsi="Calibri"/>
                <w:color w:val="334155"/>
                <w:sz w:val="18"/>
              </w:rPr>
              <w:t>Client-rendered (Optimal for behind-auth SaaS)</w:t>
            </w:r>
          </w:p>
        </w:tc>
        <w:tc>
          <w:tcPr>
            <w:tcW w:type="dxa" w:w="2736"/>
            <w:shd w:fill="F8FAFC"/>
            <w:tcMar>
              <w:top w:w="60" w:type="dxa"/>
              <w:bottom w:w="60" w:type="dxa"/>
              <w:left w:w="100" w:type="dxa"/>
              <w:right w:w="100" w:type="dxa"/>
            </w:tcMar>
          </w:tcPr>
          <w:p>
            <w:r>
              <w:rPr>
                <w:rFonts w:ascii="Calibri" w:hAnsi="Calibri"/>
                <w:color w:val="334155"/>
                <w:sz w:val="18"/>
              </w:rPr>
              <w:t>Pre-rendered HTML (Optimal for e-commerce/news)</w:t>
            </w:r>
          </w:p>
        </w:tc>
        <w:tc>
          <w:tcPr>
            <w:tcW w:type="dxa" w:w="2304"/>
            <w:shd w:fill="F8FAFC"/>
            <w:tcMar>
              <w:top w:w="60" w:type="dxa"/>
              <w:bottom w:w="60" w:type="dxa"/>
              <w:left w:w="100" w:type="dxa"/>
              <w:right w:w="100" w:type="dxa"/>
            </w:tcMar>
          </w:tcPr>
          <w:p>
            <w:r>
              <w:rPr>
                <w:rFonts w:ascii="Calibri" w:hAnsi="Calibri"/>
                <w:color w:val="334155"/>
                <w:sz w:val="18"/>
              </w:rPr>
              <w:t>Full server-rendered HTML</w:t>
            </w:r>
          </w:p>
        </w:tc>
      </w:tr>
    </w:tbl>
    <w:p>
      <w:pPr>
        <w:spacing w:before="0" w:after="80"/>
      </w:pPr>
    </w:p>
    <w:p>
      <w:pPr>
        <w:keepNext/>
        <w:spacing w:before="280" w:after="80"/>
      </w:pPr>
      <w:r>
        <w:rPr>
          <w:rFonts w:ascii="Calibri" w:hAnsi="Calibri"/>
          <w:b/>
          <w:color w:val="0F172A"/>
          <w:sz w:val="30"/>
        </w:rPr>
        <w:t>2. Front-End Architecture: Vite, React, Zustand &amp; TanStack Query</w:t>
      </w:r>
    </w:p>
    <w:p>
      <w:pPr>
        <w:keepNext/>
        <w:spacing w:before="200" w:after="60"/>
      </w:pPr>
      <w:r>
        <w:rPr>
          <w:rFonts w:ascii="Calibri" w:hAnsi="Calibri"/>
          <w:b/>
          <w:color w:val="1E3A8A"/>
          <w:sz w:val="25"/>
        </w:rPr>
        <w:t>2.1. The Sovereign State Boundary Matrix</w:t>
      </w:r>
    </w:p>
    <w:p>
      <w:r>
        <w:t>A critical failure pattern in modern React applications is the contamination of UI state stores with remote server responses. In this approved blueprint, a strict, impenetrable boundary is enforced between Client State (Zustand) and Server State (TanStack Query).</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293B"/>
            <w:tcMar>
              <w:top w:w="80" w:type="dxa"/>
              <w:bottom w:w="80" w:type="dxa"/>
              <w:left w:w="100" w:type="dxa"/>
              <w:right w:w="100" w:type="dxa"/>
            </w:tcMar>
          </w:tcPr>
          <w:p>
            <w:pPr>
              <w:jc w:val="left"/>
            </w:pPr>
            <w:r>
              <w:rPr>
                <w:rFonts w:ascii="Calibri" w:hAnsi="Calibri"/>
                <w:b/>
                <w:color w:val="FFFFFF"/>
                <w:sz w:val="19"/>
              </w:rPr>
              <w:t>Dimension</w:t>
            </w:r>
          </w:p>
        </w:tc>
        <w:tc>
          <w:tcPr>
            <w:tcW w:type="dxa" w:w="3888"/>
            <w:shd w:fill="1E293B"/>
            <w:tcMar>
              <w:top w:w="80" w:type="dxa"/>
              <w:bottom w:w="80" w:type="dxa"/>
              <w:left w:w="100" w:type="dxa"/>
              <w:right w:w="100" w:type="dxa"/>
            </w:tcMar>
          </w:tcPr>
          <w:p>
            <w:pPr>
              <w:jc w:val="left"/>
            </w:pPr>
            <w:r>
              <w:rPr>
                <w:rFonts w:ascii="Calibri" w:hAnsi="Calibri"/>
                <w:b/>
                <w:color w:val="FFFFFF"/>
                <w:sz w:val="19"/>
              </w:rPr>
              <w:t>Client State (Zustand)</w:t>
            </w:r>
          </w:p>
        </w:tc>
        <w:tc>
          <w:tcPr>
            <w:tcW w:type="dxa" w:w="3888"/>
            <w:shd w:fill="1E293B"/>
            <w:tcMar>
              <w:top w:w="80" w:type="dxa"/>
              <w:bottom w:w="80" w:type="dxa"/>
              <w:left w:w="100" w:type="dxa"/>
              <w:right w:w="100" w:type="dxa"/>
            </w:tcMar>
          </w:tcPr>
          <w:p>
            <w:pPr>
              <w:jc w:val="left"/>
            </w:pPr>
            <w:r>
              <w:rPr>
                <w:rFonts w:ascii="Calibri" w:hAnsi="Calibri"/>
                <w:b/>
                <w:color w:val="FFFFFF"/>
                <w:sz w:val="19"/>
              </w:rPr>
              <w:t>Server State (TanStack Query)</w:t>
            </w:r>
          </w:p>
        </w:tc>
      </w:tr>
      <w:tr>
        <w:tc>
          <w:tcPr>
            <w:tcW w:type="dxa" w:w="2160"/>
            <w:shd w:fill="FFFFFF"/>
            <w:tcMar>
              <w:top w:w="60" w:type="dxa"/>
              <w:bottom w:w="60" w:type="dxa"/>
              <w:left w:w="100" w:type="dxa"/>
              <w:right w:w="100" w:type="dxa"/>
            </w:tcMar>
          </w:tcPr>
          <w:p>
            <w:r>
              <w:rPr>
                <w:rFonts w:ascii="Calibri" w:hAnsi="Calibri"/>
                <w:color w:val="334155"/>
                <w:sz w:val="18"/>
              </w:rPr>
              <w:t>Ownership</w:t>
            </w:r>
          </w:p>
        </w:tc>
        <w:tc>
          <w:tcPr>
            <w:tcW w:type="dxa" w:w="3888"/>
            <w:shd w:fill="FFFFFF"/>
            <w:tcMar>
              <w:top w:w="60" w:type="dxa"/>
              <w:bottom w:w="60" w:type="dxa"/>
              <w:left w:w="100" w:type="dxa"/>
              <w:right w:w="100" w:type="dxa"/>
            </w:tcMar>
          </w:tcPr>
          <w:p>
            <w:r>
              <w:rPr>
                <w:rFonts w:ascii="Calibri" w:hAnsi="Calibri"/>
                <w:color w:val="334155"/>
                <w:sz w:val="18"/>
              </w:rPr>
              <w:t>Synchronous, client-generated ephemeral state</w:t>
            </w:r>
          </w:p>
        </w:tc>
        <w:tc>
          <w:tcPr>
            <w:tcW w:type="dxa" w:w="3888"/>
            <w:shd w:fill="FFFFFF"/>
            <w:tcMar>
              <w:top w:w="60" w:type="dxa"/>
              <w:bottom w:w="60" w:type="dxa"/>
              <w:left w:w="100" w:type="dxa"/>
              <w:right w:w="100" w:type="dxa"/>
            </w:tcMar>
          </w:tcPr>
          <w:p>
            <w:r>
              <w:rPr>
                <w:rFonts w:ascii="Calibri" w:hAnsi="Calibri"/>
                <w:color w:val="334155"/>
                <w:sz w:val="18"/>
              </w:rPr>
              <w:t>Asynchronous, server-owned cached representation</w:t>
            </w:r>
          </w:p>
        </w:tc>
      </w:tr>
      <w:tr>
        <w:tc>
          <w:tcPr>
            <w:tcW w:type="dxa" w:w="2160"/>
            <w:shd w:fill="F8FAFC"/>
            <w:tcMar>
              <w:top w:w="60" w:type="dxa"/>
              <w:bottom w:w="60" w:type="dxa"/>
              <w:left w:w="100" w:type="dxa"/>
              <w:right w:w="100" w:type="dxa"/>
            </w:tcMar>
          </w:tcPr>
          <w:p>
            <w:r>
              <w:rPr>
                <w:rFonts w:ascii="Calibri" w:hAnsi="Calibri"/>
                <w:color w:val="334155"/>
                <w:sz w:val="18"/>
              </w:rPr>
              <w:t>Examples</w:t>
            </w:r>
          </w:p>
        </w:tc>
        <w:tc>
          <w:tcPr>
            <w:tcW w:type="dxa" w:w="3888"/>
            <w:shd w:fill="F8FAFC"/>
            <w:tcMar>
              <w:top w:w="60" w:type="dxa"/>
              <w:bottom w:w="60" w:type="dxa"/>
              <w:left w:w="100" w:type="dxa"/>
              <w:right w:w="100" w:type="dxa"/>
            </w:tcMar>
          </w:tcPr>
          <w:p>
            <w:r>
              <w:rPr>
                <w:rFonts w:ascii="Calibri" w:hAnsi="Calibri"/>
                <w:color w:val="334155"/>
                <w:sz w:val="18"/>
              </w:rPr>
              <w:t>Sidebar open/closed, active modal, multi-step wizard step, table filter toggles, active theme, local canvas coordinates</w:t>
            </w:r>
          </w:p>
        </w:tc>
        <w:tc>
          <w:tcPr>
            <w:tcW w:type="dxa" w:w="3888"/>
            <w:shd w:fill="F8FAFC"/>
            <w:tcMar>
              <w:top w:w="60" w:type="dxa"/>
              <w:bottom w:w="60" w:type="dxa"/>
              <w:left w:w="100" w:type="dxa"/>
              <w:right w:w="100" w:type="dxa"/>
            </w:tcMar>
          </w:tcPr>
          <w:p>
            <w:r>
              <w:rPr>
                <w:rFonts w:ascii="Calibri" w:hAnsi="Calibri"/>
                <w:color w:val="334155"/>
                <w:sz w:val="18"/>
              </w:rPr>
              <w:t>User profile data, paginated transactions, product inventory, database records, background task statuses</w:t>
            </w:r>
          </w:p>
        </w:tc>
      </w:tr>
      <w:tr>
        <w:tc>
          <w:tcPr>
            <w:tcW w:type="dxa" w:w="2160"/>
            <w:shd w:fill="FFFFFF"/>
            <w:tcMar>
              <w:top w:w="60" w:type="dxa"/>
              <w:bottom w:w="60" w:type="dxa"/>
              <w:left w:w="100" w:type="dxa"/>
              <w:right w:w="100" w:type="dxa"/>
            </w:tcMar>
          </w:tcPr>
          <w:p>
            <w:r>
              <w:rPr>
                <w:rFonts w:ascii="Calibri" w:hAnsi="Calibri"/>
                <w:color w:val="334155"/>
                <w:sz w:val="18"/>
              </w:rPr>
              <w:t>Persistence / GC</w:t>
            </w:r>
          </w:p>
        </w:tc>
        <w:tc>
          <w:tcPr>
            <w:tcW w:type="dxa" w:w="3888"/>
            <w:shd w:fill="FFFFFF"/>
            <w:tcMar>
              <w:top w:w="60" w:type="dxa"/>
              <w:bottom w:w="60" w:type="dxa"/>
              <w:left w:w="100" w:type="dxa"/>
              <w:right w:w="100" w:type="dxa"/>
            </w:tcMar>
          </w:tcPr>
          <w:p>
            <w:r>
              <w:rPr>
                <w:rFonts w:ascii="Calibri" w:hAnsi="Calibri"/>
                <w:color w:val="334155"/>
                <w:sz w:val="18"/>
              </w:rPr>
              <w:t>Memory / LocalStorage / SessionStorage</w:t>
            </w:r>
          </w:p>
        </w:tc>
        <w:tc>
          <w:tcPr>
            <w:tcW w:type="dxa" w:w="3888"/>
            <w:shd w:fill="FFFFFF"/>
            <w:tcMar>
              <w:top w:w="60" w:type="dxa"/>
              <w:bottom w:w="60" w:type="dxa"/>
              <w:left w:w="100" w:type="dxa"/>
              <w:right w:w="100" w:type="dxa"/>
            </w:tcMar>
          </w:tcPr>
          <w:p>
            <w:r>
              <w:rPr>
                <w:rFonts w:ascii="Calibri" w:hAnsi="Calibri"/>
                <w:color w:val="334155"/>
                <w:sz w:val="18"/>
              </w:rPr>
              <w:t>Stale-While-Revalidate cache with automated GC / invalidation</w:t>
            </w:r>
          </w:p>
        </w:tc>
      </w:tr>
      <w:tr>
        <w:tc>
          <w:tcPr>
            <w:tcW w:type="dxa" w:w="2160"/>
            <w:shd w:fill="F8FAFC"/>
            <w:tcMar>
              <w:top w:w="60" w:type="dxa"/>
              <w:bottom w:w="60" w:type="dxa"/>
              <w:left w:w="100" w:type="dxa"/>
              <w:right w:w="100" w:type="dxa"/>
            </w:tcMar>
          </w:tcPr>
          <w:p>
            <w:r>
              <w:rPr>
                <w:rFonts w:ascii="Calibri" w:hAnsi="Calibri"/>
                <w:color w:val="334155"/>
                <w:sz w:val="18"/>
              </w:rPr>
              <w:t>Data Mutation Flow</w:t>
            </w:r>
          </w:p>
        </w:tc>
        <w:tc>
          <w:tcPr>
            <w:tcW w:type="dxa" w:w="3888"/>
            <w:shd w:fill="F8FAFC"/>
            <w:tcMar>
              <w:top w:w="60" w:type="dxa"/>
              <w:bottom w:w="60" w:type="dxa"/>
              <w:left w:w="100" w:type="dxa"/>
              <w:right w:w="100" w:type="dxa"/>
            </w:tcMar>
          </w:tcPr>
          <w:p>
            <w:r>
              <w:rPr>
                <w:rFonts w:ascii="Calibri" w:hAnsi="Calibri"/>
                <w:color w:val="334155"/>
                <w:sz w:val="18"/>
              </w:rPr>
              <w:t>Synchronous Zustand actions / reducers</w:t>
            </w:r>
          </w:p>
        </w:tc>
        <w:tc>
          <w:tcPr>
            <w:tcW w:type="dxa" w:w="3888"/>
            <w:shd w:fill="F8FAFC"/>
            <w:tcMar>
              <w:top w:w="60" w:type="dxa"/>
              <w:bottom w:w="60" w:type="dxa"/>
              <w:left w:w="100" w:type="dxa"/>
              <w:right w:w="100" w:type="dxa"/>
            </w:tcMar>
          </w:tcPr>
          <w:p>
            <w:r>
              <w:rPr>
                <w:rFonts w:ascii="Calibri" w:hAnsi="Calibri"/>
                <w:color w:val="334155"/>
                <w:sz w:val="18"/>
              </w:rPr>
              <w:t>Optimistic mutations, rollback, invalidation, refetching</w:t>
            </w:r>
          </w:p>
        </w:tc>
      </w:tr>
      <w:tr>
        <w:tc>
          <w:tcPr>
            <w:tcW w:type="dxa" w:w="2160"/>
            <w:shd w:fill="FFFFFF"/>
            <w:tcMar>
              <w:top w:w="60" w:type="dxa"/>
              <w:bottom w:w="60" w:type="dxa"/>
              <w:left w:w="100" w:type="dxa"/>
              <w:right w:w="100" w:type="dxa"/>
            </w:tcMar>
          </w:tcPr>
          <w:p>
            <w:r>
              <w:rPr>
                <w:rFonts w:ascii="Calibri" w:hAnsi="Calibri"/>
                <w:color w:val="334155"/>
                <w:sz w:val="18"/>
              </w:rPr>
              <w:t>Forbidden Anti-Pattern</w:t>
            </w:r>
          </w:p>
        </w:tc>
        <w:tc>
          <w:tcPr>
            <w:tcW w:type="dxa" w:w="3888"/>
            <w:shd w:fill="FFFFFF"/>
            <w:tcMar>
              <w:top w:w="60" w:type="dxa"/>
              <w:bottom w:w="60" w:type="dxa"/>
              <w:left w:w="100" w:type="dxa"/>
              <w:right w:w="100" w:type="dxa"/>
            </w:tcMar>
          </w:tcPr>
          <w:p>
            <w:r>
              <w:rPr>
                <w:rFonts w:ascii="Calibri" w:hAnsi="Calibri"/>
                <w:color w:val="334155"/>
                <w:sz w:val="18"/>
              </w:rPr>
              <w:t>Storing API response JSON in Zustand stores</w:t>
            </w:r>
          </w:p>
        </w:tc>
        <w:tc>
          <w:tcPr>
            <w:tcW w:type="dxa" w:w="3888"/>
            <w:shd w:fill="FFFFFF"/>
            <w:tcMar>
              <w:top w:w="60" w:type="dxa"/>
              <w:bottom w:w="60" w:type="dxa"/>
              <w:left w:w="100" w:type="dxa"/>
              <w:right w:w="100" w:type="dxa"/>
            </w:tcMar>
          </w:tcPr>
          <w:p>
            <w:r>
              <w:rPr>
                <w:rFonts w:ascii="Calibri" w:hAnsi="Calibri"/>
                <w:color w:val="334155"/>
                <w:sz w:val="18"/>
              </w:rPr>
              <w:t>Triggering UI modals or tab indices inside TanStack Query cache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EF2F2"/>
            <w:tcMar>
              <w:top w:w="100" w:type="dxa"/>
              <w:bottom w:w="100" w:type="dxa"/>
              <w:left w:w="140" w:type="dxa"/>
              <w:right w:w="140" w:type="dxa"/>
            </w:tcMar>
            <w:tcBorders>
              <w:left w:val="single" w:sz="24" w:space="0" w:color="B91C1C"/>
              <w:top w:val="none"/>
              <w:right w:val="none"/>
              <w:bottom w:val="none"/>
            </w:tcBorders>
          </w:tcPr>
          <w:p>
            <w:pPr>
              <w:spacing w:after="40"/>
            </w:pPr>
            <w:r>
              <w:rPr>
                <w:b/>
                <w:color w:val="1E3A8A"/>
                <w:sz w:val="19"/>
              </w:rPr>
              <w:t>■ CRITICAL STATE SEPARATION RULE</w:t>
              <w:br/>
            </w:r>
            <w:r>
              <w:rPr>
                <w:color w:val="334155"/>
                <w:sz w:val="19"/>
              </w:rPr>
              <w:t>GOVERNANCE MANDATE: Developers are strictly forbidden from copying TanStack Query response objects into Zustand stores. UI components must consume server data directly from TanStack Query hooks and read transient UI controls from Zustand. Zustand stores should only hold data that cannot be derived from the server or URL parameters.</w:t>
            </w:r>
          </w:p>
        </w:tc>
      </w:tr>
    </w:tbl>
    <w:p>
      <w:pPr>
        <w:spacing w:before="0" w:after="40"/>
      </w:pPr>
    </w:p>
    <w:p>
      <w:pPr>
        <w:keepNext/>
        <w:spacing w:before="200" w:after="60"/>
      </w:pPr>
      <w:r>
        <w:rPr>
          <w:rFonts w:ascii="Calibri" w:hAnsi="Calibri"/>
          <w:b/>
          <w:color w:val="1E3A8A"/>
          <w:sz w:val="25"/>
        </w:rPr>
        <w:t>2.2. Zustand Implementation Standards: Slice Pattern &amp; Selectors</w:t>
      </w:r>
    </w:p>
    <w:p>
      <w:r>
        <w:t>Zustand stores must be modularized using the Slice Pattern. Direct whole-store subscriptions (e.g., const store = useAppStore()) are forbidden as they cause full-component re-renders on any state mutation. Fine-grained selector hooks (e.g., useAppStore(state =&gt; state.isSidebarOpen)) or useShallow must be utilized universally.</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00" w:type="dxa"/>
              <w:right w:w="100" w:type="dxa"/>
            </w:tcMar>
            <w:tcBorders>
              <w:left w:val="single" w:sz="12" w:space="0" w:color="CBD5E1"/>
              <w:top w:val="single" w:sz="6" w:space="0" w:color="CBD5E1"/>
              <w:right w:val="single" w:sz="6" w:space="0" w:color="CBD5E1"/>
              <w:bottom w:val="single" w:sz="6" w:space="0" w:color="CBD5E1"/>
            </w:tcBorders>
          </w:tcPr>
          <w:p>
            <w:pPr>
              <w:spacing w:after="0" w:line="252" w:lineRule="auto"/>
            </w:pPr>
            <w:r>
              <w:rPr>
                <w:rFonts w:ascii="Consolas" w:hAnsi="Consolas"/>
                <w:color w:val="64748B"/>
                <w:sz w:val="17"/>
              </w:rPr>
              <w:t>// TypeScript: Production Zustand Slice Store Setup</w:t>
              <w:br/>
            </w:r>
            <w:r>
              <w:rPr>
                <w:rFonts w:ascii="Consolas" w:hAnsi="Consolas"/>
                <w:color w:val="1E293B"/>
                <w:sz w:val="17"/>
              </w:rPr>
              <w:t>import { create } from 'zustand';</w:t>
              <w:br/>
              <w:t>import { devtools, persist, createJSONStorage } from 'zustand/middleware';</w:t>
              <w:br/>
              <w:t>import { immer } from 'zustand/middleware/immer';</w:t>
              <w:br/>
              <w:br/>
              <w:t>interface UISlice {</w:t>
              <w:br/>
              <w:t xml:space="preserve">  isSidebarOpen: boolean;</w:t>
              <w:br/>
              <w:t xml:space="preserve">  theme: 'light' | 'dark' | 'system';</w:t>
              <w:br/>
              <w:t xml:space="preserve">  toggleSidebar: () =&gt; void;</w:t>
              <w:br/>
              <w:t xml:space="preserve">  setTheme: (theme: 'light' | 'dark' | 'system') =&gt; void;</w:t>
              <w:br/>
              <w:t>}</w:t>
              <w:br/>
              <w:br/>
              <w:t>interface FilterSlice {</w:t>
              <w:br/>
              <w:t xml:space="preserve">  searchQuery: string;</w:t>
              <w:br/>
              <w:t xml:space="preserve">  activeTag: string | null;</w:t>
              <w:br/>
              <w:t xml:space="preserve">  setSearchQuery: (query: string) =&gt; void;</w:t>
              <w:br/>
              <w:t xml:space="preserve">  setActiveTag: (tag: string | null) =&gt; void;</w:t>
              <w:br/>
              <w:t xml:space="preserve">  resetFilters: () =&gt; void;</w:t>
              <w:br/>
              <w:t>}</w:t>
              <w:br/>
              <w:br/>
              <w:t>export type RootStore = UISlice &amp; FilterSlice;</w:t>
              <w:br/>
              <w:br/>
              <w:t>export const useAppStore = create&lt;RootStore&gt;()(</w:t>
              <w:br/>
              <w:t xml:space="preserve">  devtools(</w:t>
              <w:br/>
              <w:t xml:space="preserve">    persist(</w:t>
              <w:br/>
              <w:t xml:space="preserve">      immer((set) =&gt; ({</w:t>
              <w:br/>
              <w:t xml:space="preserve">        // UI Slice</w:t>
              <w:br/>
              <w:t xml:space="preserve">        isSidebarOpen: true,</w:t>
              <w:br/>
              <w:t xml:space="preserve">        theme: 'system',</w:t>
              <w:br/>
              <w:t xml:space="preserve">        toggleSidebar: () =&gt; set((state) =&gt; { state.isSidebarOpen = !state.isSidebarOpen; }),</w:t>
              <w:br/>
              <w:t xml:space="preserve">        setTheme: (theme) =&gt; set((state) =&gt; { state.theme = theme; }),</w:t>
              <w:br/>
              <w:br/>
              <w:t xml:space="preserve">        // Filter Slice</w:t>
              <w:br/>
              <w:t xml:space="preserve">        searchQuery: '',</w:t>
              <w:br/>
              <w:t xml:space="preserve">        activeTag: null,</w:t>
              <w:br/>
              <w:t xml:space="preserve">        setSearchQuery: (searchQuery) =&gt; set((state) =&gt; { state.searchQuery = searchQuery; }),</w:t>
              <w:br/>
              <w:t xml:space="preserve">        setActiveTag: (tag) =&gt; set((state) =&gt; { state.activeTag = tag; }),</w:t>
              <w:br/>
              <w:t xml:space="preserve">        resetFilters: () =&gt; set((state) =&gt; {</w:t>
              <w:br/>
              <w:t xml:space="preserve">          state.searchQuery = '';</w:t>
              <w:br/>
              <w:t xml:space="preserve">          state.activeTag = null;</w:t>
              <w:br/>
              <w:t xml:space="preserve">        }),</w:t>
              <w:br/>
              <w:t xml:space="preserve">      })),</w:t>
              <w:br/>
              <w:t xml:space="preserve">      {</w:t>
              <w:br/>
              <w:t xml:space="preserve">        name: 'app-local-storage',</w:t>
              <w:br/>
              <w:t xml:space="preserve">        storage: createJSONStorage(() =&gt; localStorage),</w:t>
              <w:br/>
              <w:t xml:space="preserve">        partialize: (state) =&gt; ({ theme: state.theme }), // Only persist theme across reloads</w:t>
              <w:br/>
              <w:t xml:space="preserve">      }</w:t>
              <w:br/>
              <w:t xml:space="preserve">    ),</w:t>
              <w:br/>
              <w:t xml:space="preserve">    { name: 'RootStore' }</w:t>
              <w:br/>
              <w:t xml:space="preserve">  )</w:t>
              <w:br/>
              <w:t>);</w:t>
            </w:r>
          </w:p>
        </w:tc>
      </w:tr>
    </w:tbl>
    <w:p>
      <w:pPr>
        <w:spacing w:before="0" w:after="40"/>
      </w:pPr>
    </w:p>
    <w:p>
      <w:pPr>
        <w:keepNext/>
        <w:spacing w:before="200" w:after="60"/>
      </w:pPr>
      <w:r>
        <w:rPr>
          <w:rFonts w:ascii="Calibri" w:hAnsi="Calibri"/>
          <w:b/>
          <w:color w:val="1E3A8A"/>
          <w:sz w:val="25"/>
        </w:rPr>
        <w:t>2.3. TanStack Query v5: Query Key Factories &amp; Optimistic Mutations</w:t>
      </w:r>
    </w:p>
    <w:p>
      <w:r>
        <w:t>To ensure deterministic cache invalidation and eliminate magic query strings, all queries must be governed by a centralized Query Key Factory. Mutations affecting shared entities must implement optimistic UI updates with comprehensive rollback error handling.</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00" w:type="dxa"/>
              <w:right w:w="100" w:type="dxa"/>
            </w:tcMar>
            <w:tcBorders>
              <w:left w:val="single" w:sz="12" w:space="0" w:color="CBD5E1"/>
              <w:top w:val="single" w:sz="6" w:space="0" w:color="CBD5E1"/>
              <w:right w:val="single" w:sz="6" w:space="0" w:color="CBD5E1"/>
              <w:bottom w:val="single" w:sz="6" w:space="0" w:color="CBD5E1"/>
            </w:tcBorders>
          </w:tcPr>
          <w:p>
            <w:pPr>
              <w:spacing w:after="0" w:line="252" w:lineRule="auto"/>
            </w:pPr>
            <w:r>
              <w:rPr>
                <w:rFonts w:ascii="Consolas" w:hAnsi="Consolas"/>
                <w:color w:val="64748B"/>
                <w:sz w:val="17"/>
              </w:rPr>
              <w:t>// TypeScript: TanStack Query v5 Key Factory &amp; Optimistic Updates</w:t>
              <w:br/>
            </w:r>
            <w:r>
              <w:rPr>
                <w:rFonts w:ascii="Consolas" w:hAnsi="Consolas"/>
                <w:color w:val="1E293B"/>
                <w:sz w:val="17"/>
              </w:rPr>
              <w:t>import { useQuery, useMutation, useQueryClient } from '@tanstack/react-query';</w:t>
              <w:br/>
              <w:t>import { apiClient } from '@/services/api';</w:t>
              <w:br/>
              <w:t>import { Project, UpdateProjectPayload } from '@/types/api';</w:t>
              <w:br/>
              <w:br/>
              <w:t>// 1. Centralized Query Key Factory</w:t>
              <w:br/>
              <w:t>export const projectKeys = {</w:t>
              <w:br/>
              <w:t xml:space="preserve">  all: ['projects'] as const,</w:t>
              <w:br/>
              <w:t xml:space="preserve">  lists: () =&gt; [...projectKeys.all, 'list'] as const,</w:t>
              <w:br/>
              <w:t xml:space="preserve">  list: (filters: Record&lt;string, unknown&gt;) =&gt; [...projectKeys.lists(), filters] as const,</w:t>
              <w:br/>
              <w:t xml:space="preserve">  details: () =&gt; [...projectKeys.all, 'detail'] as const,</w:t>
              <w:br/>
              <w:t xml:space="preserve">  detail: (id: string) =&gt; [...projectKeys.details(), id] as const,</w:t>
              <w:br/>
              <w:t>};</w:t>
              <w:br/>
              <w:br/>
              <w:t>// 2. Fetch Query Hook with Strict Stale Time Defaults</w:t>
              <w:br/>
              <w:t>export const useProjectDetail = (projectId: string) =&gt; {</w:t>
              <w:br/>
              <w:t xml:space="preserve">  return useQuery({</w:t>
              <w:br/>
              <w:t xml:space="preserve">    queryKey: projectKeys.detail(projectId),</w:t>
              <w:br/>
              <w:t xml:space="preserve">    queryFn: () =&gt; apiClient.get&lt;Project&gt;(`/api/v1/projects/${projectId}`),</w:t>
              <w:br/>
              <w:t xml:space="preserve">    staleTime: 1000 * 60 * 5, // 5 minutes fresh</w:t>
              <w:br/>
              <w:t xml:space="preserve">    gcTime: 1000 * 60 * 30,   // 30 minutes garbage collection</w:t>
              <w:br/>
              <w:t xml:space="preserve">    enabled: Boolean(projectId),</w:t>
              <w:br/>
              <w:t xml:space="preserve">  });</w:t>
              <w:br/>
              <w:t>};</w:t>
              <w:br/>
              <w:br/>
              <w:t>// 3. Mutation Hook with Optimistic Update and Rollback</w:t>
              <w:br/>
              <w:t>export const useUpdateProject = (projectId: string) =&gt; {</w:t>
              <w:br/>
              <w:t xml:space="preserve">  const queryClient = useQueryClient();</w:t>
              <w:br/>
              <w:br/>
              <w:t xml:space="preserve">  return useMutation({</w:t>
              <w:br/>
              <w:t xml:space="preserve">    mutationFn: (payload: UpdateProjectPayload) =&gt;</w:t>
              <w:br/>
              <w:t xml:space="preserve">      apiClient.patch&lt;Project&gt;(`/api/v1/projects/${projectId}`, payload),</w:t>
              <w:br/>
              <w:t xml:space="preserve">    onMutate: async (newPayload) =&gt; {</w:t>
              <w:br/>
              <w:t xml:space="preserve">      await queryClient.cancelQueries({ queryKey: projectKeys.detail(projectId) });</w:t>
              <w:br/>
              <w:t xml:space="preserve">      const previousProject = queryClient.getQueryData&lt;Project&gt;(projectKeys.detail(projectId));</w:t>
              <w:br/>
              <w:br/>
              <w:t xml:space="preserve">      // Optimistically update cache</w:t>
              <w:br/>
              <w:t xml:space="preserve">      if (previousProject) {</w:t>
              <w:br/>
              <w:t xml:space="preserve">        queryClient.setQueryData&lt;Project&gt;(projectKeys.detail(projectId), {</w:t>
              <w:br/>
              <w:t xml:space="preserve">          ...previousProject,</w:t>
              <w:br/>
              <w:t xml:space="preserve">          ...newPayload,</w:t>
              <w:br/>
              <w:t xml:space="preserve">        });</w:t>
              <w:br/>
              <w:t xml:space="preserve">      }</w:t>
              <w:br/>
              <w:t xml:space="preserve">      return { previousProject };</w:t>
              <w:br/>
              <w:t xml:space="preserve">    },</w:t>
              <w:br/>
              <w:t xml:space="preserve">    onError: (_err, _newPayload, context) =&gt; {</w:t>
              <w:br/>
              <w:t xml:space="preserve">      // Rollback to prior snapshot on network / validation failure</w:t>
              <w:br/>
              <w:t xml:space="preserve">      if (context?.previousProject) {</w:t>
              <w:br/>
              <w:t xml:space="preserve">        queryClient.setQueryData(projectKeys.detail(projectId), context.previousProject);</w:t>
              <w:br/>
              <w:t xml:space="preserve">      }</w:t>
              <w:br/>
              <w:t xml:space="preserve">    },</w:t>
              <w:br/>
              <w:t xml:space="preserve">    onSettled: () =&gt; {</w:t>
              <w:br/>
              <w:t xml:space="preserve">      // Re-synchronize with server source of truth</w:t>
              <w:br/>
              <w:t xml:space="preserve">      queryClient.invalidateQueries({ queryKey: projectKeys.detail(projectId) });</w:t>
              <w:br/>
              <w:t xml:space="preserve">      queryClient.invalidateQueries({ queryKey: projectKeys.lists() });</w:t>
              <w:br/>
              <w:t xml:space="preserve">    },</w:t>
              <w:br/>
              <w:t xml:space="preserve">  });</w:t>
              <w:br/>
              <w:t>};</w:t>
            </w:r>
          </w:p>
        </w:tc>
      </w:tr>
    </w:tbl>
    <w:p>
      <w:pPr>
        <w:spacing w:before="0" w:after="40"/>
      </w:pPr>
    </w:p>
    <w:p>
      <w:pPr>
        <w:keepNext/>
        <w:spacing w:before="200" w:after="60"/>
      </w:pPr>
      <w:r>
        <w:rPr>
          <w:rFonts w:ascii="Calibri" w:hAnsi="Calibri"/>
          <w:b/>
          <w:color w:val="1E3A8A"/>
          <w:sz w:val="25"/>
        </w:rPr>
        <w:t>2.4. End-to-End Type Safety: OpenAPI TypeScript Generation</w:t>
      </w:r>
    </w:p>
    <w:p>
      <w:r>
        <w:t>To achieve the type safety guarantees traditionally associated with tRPC without sacrificing REST interoperability, OpenAPI schemas generated by FastAPI must automatically compile into TypeScript interfaces and SDK hooks via @hey-api/openapi-ts or openapi-typescript. This completely eliminates manual contract maintenance.</w:t>
      </w:r>
    </w:p>
    <w:p>
      <w:pPr>
        <w:keepNext/>
        <w:spacing w:before="280" w:after="80"/>
      </w:pPr>
      <w:r>
        <w:rPr>
          <w:rFonts w:ascii="Calibri" w:hAnsi="Calibri"/>
          <w:b/>
          <w:color w:val="0F172A"/>
          <w:sz w:val="30"/>
        </w:rPr>
        <w:t>3. Backend Architecture: FastAPI, Asynchronous Patterns &amp; Data Layer</w:t>
      </w:r>
    </w:p>
    <w:p>
      <w:pPr>
        <w:keepNext/>
        <w:spacing w:before="200" w:after="60"/>
      </w:pPr>
      <w:r>
        <w:rPr>
          <w:rFonts w:ascii="Calibri" w:hAnsi="Calibri"/>
          <w:b/>
          <w:color w:val="1E3A8A"/>
          <w:sz w:val="25"/>
        </w:rPr>
        <w:t>3.1. FastAPI Core Design &amp; Pydantic v2 Engine</w:t>
      </w:r>
    </w:p>
    <w:p>
      <w:r>
        <w:t>FastAPI leverages Pydantic v2 (compiled with a Rust core engine) to deliver parse-time throughput improvements up to 5-10x over legacy Pydantic v1. Strict typing and schema definitions prevent data leakage and invalid payload injections.</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00" w:type="dxa"/>
              <w:right w:w="100" w:type="dxa"/>
            </w:tcMar>
            <w:tcBorders>
              <w:left w:val="single" w:sz="12" w:space="0" w:color="CBD5E1"/>
              <w:top w:val="single" w:sz="6" w:space="0" w:color="CBD5E1"/>
              <w:right w:val="single" w:sz="6" w:space="0" w:color="CBD5E1"/>
              <w:bottom w:val="single" w:sz="6" w:space="0" w:color="CBD5E1"/>
            </w:tcBorders>
          </w:tcPr>
          <w:p>
            <w:pPr>
              <w:spacing w:after="0" w:line="252" w:lineRule="auto"/>
            </w:pPr>
            <w:r>
              <w:rPr>
                <w:rFonts w:ascii="Consolas" w:hAnsi="Consolas"/>
                <w:color w:val="64748B"/>
                <w:sz w:val="17"/>
              </w:rPr>
              <w:t>// Python: Production-Grade FastAPI Endpoint with Async Dependency Injection</w:t>
              <w:br/>
            </w:r>
            <w:r>
              <w:rPr>
                <w:rFonts w:ascii="Consolas" w:hAnsi="Consolas"/>
                <w:color w:val="1E293B"/>
                <w:sz w:val="17"/>
              </w:rPr>
              <w:t>from typing import Annotated, Optional</w:t>
              <w:br/>
              <w:t>from uuid import UUID</w:t>
              <w:br/>
              <w:t>from datetime import datetime</w:t>
              <w:br/>
              <w:t>from pydantic import BaseModel, ConfigDict, Field</w:t>
              <w:br/>
              <w:t>from fastapi import APIRouter, Depends, HTTPException, status</w:t>
              <w:br/>
              <w:t>from sqlalchemy.ext.asyncio import AsyncSession</w:t>
              <w:br/>
              <w:t>from core.database import get_db_session</w:t>
              <w:br/>
              <w:t>from services.project_service import ProjectService</w:t>
              <w:br/>
              <w:t>from schemas.auth import AuthenticatedUser</w:t>
              <w:br/>
              <w:t>from core.security import get_current_active_user</w:t>
              <w:br/>
              <w:br/>
              <w:t>router = APIRouter(prefix="/projects", tags=["Projects"])</w:t>
              <w:br/>
              <w:br/>
              <w:t>class ProjectUpdateSchema(BaseModel):</w:t>
              <w:br/>
              <w:t xml:space="preserve">    model_config = ConfigDict(extra="forbid", str_strip_whitespace=True)</w:t>
              <w:br/>
              <w:t xml:space="preserve">    title: Optional[str] = Field(None, min_length=3, max_length=120)</w:t>
              <w:br/>
              <w:t xml:space="preserve">    description: Optional[str] = Field(None, max_length=2000)</w:t>
              <w:br/>
              <w:t xml:space="preserve">    is_archived: Optional[bool] = None</w:t>
              <w:br/>
              <w:br/>
              <w:t>class ProjectResponseSchema(BaseModel):</w:t>
              <w:br/>
              <w:t xml:space="preserve">    model_config = ConfigDict(from_attributes=True)</w:t>
              <w:br/>
              <w:t xml:space="preserve">    id: UUID</w:t>
              <w:br/>
              <w:t xml:space="preserve">    title: str</w:t>
              <w:br/>
              <w:t xml:space="preserve">    description: Optional[str]</w:t>
              <w:br/>
              <w:t xml:space="preserve">    is_archived: bool</w:t>
              <w:br/>
              <w:t xml:space="preserve">    owner_id: UUID</w:t>
              <w:br/>
              <w:t xml:space="preserve">    created_at: datetime</w:t>
              <w:br/>
              <w:t xml:space="preserve">    updated_at: datetime</w:t>
              <w:br/>
              <w:br/>
              <w:t>@router.patch("/{project_id}", response_model=ProjectResponseSchema)</w:t>
              <w:br/>
              <w:t>async def update_project(</w:t>
              <w:br/>
              <w:t xml:space="preserve">    project_id: UUID,</w:t>
              <w:br/>
              <w:t xml:space="preserve">    payload: ProjectUpdateSchema,</w:t>
              <w:br/>
              <w:t xml:space="preserve">    current_user: Annotated[AuthenticatedUser, Depends(get_current_active_user)],</w:t>
              <w:br/>
              <w:t xml:space="preserve">    db: Annotated[AsyncSession, Depends(get_db_session)],</w:t>
              <w:br/>
              <w:t>):</w:t>
              <w:br/>
              <w:t xml:space="preserve">    service = ProjectService(db)</w:t>
              <w:br/>
              <w:t xml:space="preserve">    # Enforce Object-Level Authorization (BOLA/IDOR Defense)</w:t>
              <w:br/>
              <w:t xml:space="preserve">    project = await service.get_project_for_user(project_id=project_id, user_id=current_user.id)</w:t>
              <w:br/>
              <w:t xml:space="preserve">    if not project:</w:t>
              <w:br/>
              <w:t xml:space="preserve">        raise HTTPException(</w:t>
              <w:br/>
              <w:t xml:space="preserve">            status_code=status.HTTP_404_NOT_FOUND,</w:t>
              <w:br/>
              <w:t xml:space="preserve">            detail="Project not found or insufficient permissions"</w:t>
              <w:br/>
              <w:t xml:space="preserve">        )</w:t>
              <w:br/>
              <w:t xml:space="preserve">    return await service.update_project(project=project, payload=payload)</w:t>
            </w:r>
          </w:p>
        </w:tc>
      </w:tr>
    </w:tbl>
    <w:p>
      <w:pPr>
        <w:spacing w:before="0" w:after="40"/>
      </w:pPr>
    </w:p>
    <w:p>
      <w:pPr>
        <w:keepNext/>
        <w:spacing w:before="200" w:after="60"/>
      </w:pPr>
      <w:r>
        <w:rPr>
          <w:rFonts w:ascii="Calibri" w:hAnsi="Calibri"/>
          <w:b/>
          <w:color w:val="1E3A8A"/>
          <w:sz w:val="25"/>
        </w:rPr>
        <w:t>3.2. Asynchronous Persistence: SQLAlchemy 2.0 + asyncpg Connection Management</w:t>
      </w:r>
    </w:p>
    <w:p>
      <w:r>
        <w:t>To achieve sub-10ms response latencies, the persistence layer utilizes SQLAlchemy 2.0 with the asyncpg driver. Connection pooling must be configured to prevent connection exhaustion during traffic surges.</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00" w:type="dxa"/>
              <w:right w:w="100" w:type="dxa"/>
            </w:tcMar>
            <w:tcBorders>
              <w:left w:val="single" w:sz="12" w:space="0" w:color="CBD5E1"/>
              <w:top w:val="single" w:sz="6" w:space="0" w:color="CBD5E1"/>
              <w:right w:val="single" w:sz="6" w:space="0" w:color="CBD5E1"/>
              <w:bottom w:val="single" w:sz="6" w:space="0" w:color="CBD5E1"/>
            </w:tcBorders>
          </w:tcPr>
          <w:p>
            <w:pPr>
              <w:spacing w:after="0" w:line="252" w:lineRule="auto"/>
            </w:pPr>
            <w:r>
              <w:rPr>
                <w:rFonts w:ascii="Consolas" w:hAnsi="Consolas"/>
                <w:color w:val="64748B"/>
                <w:sz w:val="17"/>
              </w:rPr>
              <w:t>// Python: SQLAlchemy 2.0 Async Session Factory &amp; Pool Hardening</w:t>
              <w:br/>
            </w:r>
            <w:r>
              <w:rPr>
                <w:rFonts w:ascii="Consolas" w:hAnsi="Consolas"/>
                <w:color w:val="1E293B"/>
                <w:sz w:val="17"/>
              </w:rPr>
              <w:t>from sqlalchemy.ext.asyncio import create_async_engine, async_sessionmaker, AsyncSession</w:t>
              <w:br/>
              <w:t>from core.config import settings</w:t>
              <w:br/>
              <w:br/>
              <w:t># High-concurrency connection pool</w:t>
              <w:br/>
              <w:t>async_engine = create_async_engine(</w:t>
              <w:br/>
              <w:t xml:space="preserve">    str(settings.DATABASE_ASYNC_URL),</w:t>
              <w:br/>
              <w:t xml:space="preserve">    pool_size=settings.DB_POOL_SIZE,          # e.g., 20 persistent connections</w:t>
              <w:br/>
              <w:t xml:space="preserve">    max_overflow=settings.DB_MAX_OVERFLOW,    # e.g., 10 burst connections</w:t>
              <w:br/>
              <w:t xml:space="preserve">    pool_timeout=settings.DB_POOL_TIMEOUT,    # 30 seconds</w:t>
              <w:br/>
              <w:t xml:space="preserve">    pool_recycle=1800,                        # Recycle every 30m to avoid stale socket drops</w:t>
              <w:br/>
              <w:t xml:space="preserve">    pool_pre_ping=True,                       # Proactive heartbeat check</w:t>
              <w:br/>
              <w:t xml:space="preserve">    echo=settings.DEBUG_SQL,</w:t>
              <w:br/>
              <w:t>)</w:t>
              <w:br/>
              <w:br/>
              <w:t>AsyncSessionLocal = async_sessionmaker(</w:t>
              <w:br/>
              <w:t xml:space="preserve">    bind=async_engine,</w:t>
              <w:br/>
              <w:t xml:space="preserve">    class_=AsyncSession,</w:t>
              <w:br/>
              <w:t xml:space="preserve">    expire_on_commit=False,</w:t>
              <w:br/>
              <w:t xml:space="preserve">    autoflush=False,</w:t>
              <w:br/>
              <w:t>)</w:t>
              <w:br/>
              <w:br/>
              <w:t>async def get_db_session() -&gt; AsyncSession:</w:t>
              <w:br/>
              <w:t xml:space="preserve">    async with AsyncSessionLocal() as session:</w:t>
              <w:br/>
              <w:t xml:space="preserve">        try:</w:t>
              <w:br/>
              <w:t xml:space="preserve">            yield session</w:t>
              <w:br/>
              <w:t xml:space="preserve">            await session.commit()</w:t>
              <w:br/>
              <w:t xml:space="preserve">        except Exception:</w:t>
              <w:br/>
              <w:t xml:space="preserve">            await session.rollback()</w:t>
              <w:br/>
              <w:t xml:space="preserve">            raise</w:t>
              <w:br/>
              <w:t xml:space="preserve">        finally:</w:t>
              <w:br/>
              <w:t xml:space="preserve">            await session.close()</w:t>
            </w:r>
          </w:p>
        </w:tc>
      </w:tr>
    </w:tbl>
    <w:p>
      <w:pPr>
        <w:spacing w:before="0" w:after="40"/>
      </w:pPr>
    </w:p>
    <w:p>
      <w:pPr>
        <w:keepNext/>
        <w:spacing w:before="200" w:after="60"/>
      </w:pPr>
      <w:r>
        <w:rPr>
          <w:rFonts w:ascii="Calibri" w:hAnsi="Calibri"/>
          <w:b/>
          <w:color w:val="1E3A8A"/>
          <w:sz w:val="25"/>
        </w:rPr>
        <w:t>3.3. Concurrency Safety: Preventing Event-Loop Blocking</w:t>
      </w:r>
    </w:p>
    <w:p>
      <w:r>
        <w:t>A lethal trap in ASGI Python applications is invoking synchronous blocking I/O (e.g., requests.get(), time.sleep(), or CPU-heavy cryptographic hash calculation) inside async def endpoints. Doing so halts the entire single-threaded event loop for all concurrent requests. All blocking workloads must either use async equivalents (httpx.AsyncClient) or be dispatched via asyncio.to_thread / run_in_threadpool.</w:t>
      </w:r>
    </w:p>
    <w:p>
      <w:pPr>
        <w:keepNext/>
        <w:spacing w:before="280" w:after="80"/>
      </w:pPr>
      <w:r>
        <w:rPr>
          <w:rFonts w:ascii="Calibri" w:hAnsi="Calibri"/>
          <w:b/>
          <w:color w:val="0F172A"/>
          <w:sz w:val="30"/>
        </w:rPr>
        <w:t>4. Security Architecture, Threat Modeling &amp; Defense Engineering</w:t>
      </w:r>
    </w:p>
    <w:p>
      <w:pPr>
        <w:keepNext/>
        <w:spacing w:before="200" w:after="60"/>
      </w:pPr>
      <w:r>
        <w:rPr>
          <w:rFonts w:ascii="Calibri" w:hAnsi="Calibri"/>
          <w:b/>
          <w:color w:val="1E3A8A"/>
          <w:sz w:val="25"/>
        </w:rPr>
        <w:t>4.1. Authentication Architecture: Short-Lived JWT + HttpOnly Cookie Refresh Rotation</w:t>
      </w:r>
    </w:p>
    <w:p>
      <w:r>
        <w:t>Storing access tokens in browser localStorage exposes credentials to cross-site scripting (XSS) extraction. The approved blueprint implements a Zero-Trust token lifecycle:</w:t>
      </w:r>
    </w:p>
    <w:p>
      <w:pPr>
        <w:pStyle w:val="ListBullet"/>
        <w:spacing w:after="60"/>
      </w:pPr>
      <w:r>
        <w:rPr>
          <w:b/>
          <w:color w:val="1E3A8A"/>
        </w:rPr>
        <w:t xml:space="preserve">Short-Lived In-Memory Access Token: </w:t>
      </w:r>
      <w:r>
        <w:rPr>
          <w:color w:val="334155"/>
        </w:rPr>
        <w:t>Access tokens (JWT, RS256 signed) carry a 15-minute TTL and are kept solely in frontend JavaScript memory (never in localStorage or sessionStorage).</w:t>
      </w:r>
    </w:p>
    <w:p>
      <w:pPr>
        <w:pStyle w:val="ListBullet"/>
        <w:spacing w:after="60"/>
      </w:pPr>
      <w:r>
        <w:rPr>
          <w:b/>
          <w:color w:val="1E3A8A"/>
        </w:rPr>
        <w:t xml:space="preserve">HttpOnly, Secure, SameSite Refresh Token Cookie: </w:t>
      </w:r>
      <w:r>
        <w:rPr>
          <w:color w:val="334155"/>
        </w:rPr>
        <w:t>Refresh tokens (7-day TTL) are stored in an HttpOnly, Secure, SameSite=Strict cookie inaccessible to client-side scripts, protecting against XSS.</w:t>
      </w:r>
    </w:p>
    <w:p>
      <w:pPr>
        <w:pStyle w:val="ListBullet"/>
        <w:spacing w:after="60"/>
      </w:pPr>
      <w:r>
        <w:rPr>
          <w:b/>
          <w:color w:val="1E3A8A"/>
        </w:rPr>
        <w:t xml:space="preserve">Refresh Token Rotation (RTR) &amp; Reuse Detection: </w:t>
      </w:r>
      <w:r>
        <w:rPr>
          <w:color w:val="334155"/>
        </w:rPr>
        <w:t>Every token refresh invalidates the prior refresh token and issues a new cryptographic pair. If an invalidated token is presented (indicating interception or token replay), all child sessions for that user identity are revoked immediately across Redis.</w:t>
      </w:r>
    </w:p>
    <w:p>
      <w:pPr>
        <w:pStyle w:val="ListBullet"/>
        <w:spacing w:after="60"/>
      </w:pPr>
      <w:r>
        <w:rPr>
          <w:b/>
          <w:color w:val="1E3A8A"/>
        </w:rPr>
        <w:t xml:space="preserve">CSRF Protection: </w:t>
      </w:r>
      <w:r>
        <w:rPr>
          <w:color w:val="334155"/>
        </w:rPr>
        <w:t>Protected mutation routes verify standard Anti-CSRF headers or rely on SameSite=Strict / Lax cookie policies with custom pre-flight header validation (X-Requested-With / X-Client-Version).</w:t>
      </w:r>
    </w:p>
    <w:p>
      <w:pPr>
        <w:keepNext/>
        <w:spacing w:before="200" w:after="60"/>
      </w:pPr>
      <w:r>
        <w:rPr>
          <w:rFonts w:ascii="Calibri" w:hAnsi="Calibri"/>
          <w:b/>
          <w:color w:val="1E3A8A"/>
          <w:sz w:val="25"/>
        </w:rPr>
        <w:t>4.2. Threat Defense Matrix (Dark Web / Threat Actor Countermeasures)</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1E293B"/>
            <w:tcMar>
              <w:top w:w="80" w:type="dxa"/>
              <w:bottom w:w="80" w:type="dxa"/>
              <w:left w:w="100" w:type="dxa"/>
              <w:right w:w="100" w:type="dxa"/>
            </w:tcMar>
          </w:tcPr>
          <w:p>
            <w:pPr>
              <w:jc w:val="left"/>
            </w:pPr>
            <w:r>
              <w:rPr>
                <w:rFonts w:ascii="Calibri" w:hAnsi="Calibri"/>
                <w:b/>
                <w:color w:val="FFFFFF"/>
                <w:sz w:val="19"/>
              </w:rPr>
              <w:t>Threat Category</w:t>
            </w:r>
          </w:p>
        </w:tc>
        <w:tc>
          <w:tcPr>
            <w:tcW w:type="dxa" w:w="3744"/>
            <w:shd w:fill="1E293B"/>
            <w:tcMar>
              <w:top w:w="80" w:type="dxa"/>
              <w:bottom w:w="80" w:type="dxa"/>
              <w:left w:w="100" w:type="dxa"/>
              <w:right w:w="100" w:type="dxa"/>
            </w:tcMar>
          </w:tcPr>
          <w:p>
            <w:pPr>
              <w:jc w:val="left"/>
            </w:pPr>
            <w:r>
              <w:rPr>
                <w:rFonts w:ascii="Calibri" w:hAnsi="Calibri"/>
                <w:b/>
                <w:color w:val="FFFFFF"/>
                <w:sz w:val="19"/>
              </w:rPr>
              <w:t>Attack Vector Description</w:t>
            </w:r>
          </w:p>
        </w:tc>
        <w:tc>
          <w:tcPr>
            <w:tcW w:type="dxa" w:w="3888"/>
            <w:shd w:fill="1E293B"/>
            <w:tcMar>
              <w:top w:w="80" w:type="dxa"/>
              <w:bottom w:w="80" w:type="dxa"/>
              <w:left w:w="100" w:type="dxa"/>
              <w:right w:w="100" w:type="dxa"/>
            </w:tcMar>
          </w:tcPr>
          <w:p>
            <w:pPr>
              <w:jc w:val="left"/>
            </w:pPr>
            <w:r>
              <w:rPr>
                <w:rFonts w:ascii="Calibri" w:hAnsi="Calibri"/>
                <w:b/>
                <w:color w:val="FFFFFF"/>
                <w:sz w:val="19"/>
              </w:rPr>
              <w:t>Blueprint Defense Mechanism</w:t>
            </w:r>
          </w:p>
        </w:tc>
      </w:tr>
      <w:tr>
        <w:tc>
          <w:tcPr>
            <w:tcW w:type="dxa" w:w="2304"/>
            <w:shd w:fill="FFFFFF"/>
            <w:tcMar>
              <w:top w:w="60" w:type="dxa"/>
              <w:bottom w:w="60" w:type="dxa"/>
              <w:left w:w="100" w:type="dxa"/>
              <w:right w:w="100" w:type="dxa"/>
            </w:tcMar>
          </w:tcPr>
          <w:p>
            <w:r>
              <w:rPr>
                <w:rFonts w:ascii="Calibri" w:hAnsi="Calibri"/>
                <w:color w:val="334155"/>
                <w:sz w:val="18"/>
              </w:rPr>
              <w:t>Credential Stuffing / Brute Force</w:t>
            </w:r>
          </w:p>
        </w:tc>
        <w:tc>
          <w:tcPr>
            <w:tcW w:type="dxa" w:w="3744"/>
            <w:shd w:fill="FFFFFF"/>
            <w:tcMar>
              <w:top w:w="60" w:type="dxa"/>
              <w:bottom w:w="60" w:type="dxa"/>
              <w:left w:w="100" w:type="dxa"/>
              <w:right w:w="100" w:type="dxa"/>
            </w:tcMar>
          </w:tcPr>
          <w:p>
            <w:r>
              <w:rPr>
                <w:rFonts w:ascii="Calibri" w:hAnsi="Calibri"/>
                <w:color w:val="334155"/>
                <w:sz w:val="18"/>
              </w:rPr>
              <w:t>Automated replay of breached Dark Web credential databases against login endpoints.</w:t>
            </w:r>
          </w:p>
        </w:tc>
        <w:tc>
          <w:tcPr>
            <w:tcW w:type="dxa" w:w="3888"/>
            <w:shd w:fill="FFFFFF"/>
            <w:tcMar>
              <w:top w:w="60" w:type="dxa"/>
              <w:bottom w:w="60" w:type="dxa"/>
              <w:left w:w="100" w:type="dxa"/>
              <w:right w:w="100" w:type="dxa"/>
            </w:tcMar>
          </w:tcPr>
          <w:p>
            <w:r>
              <w:rPr>
                <w:rFonts w:ascii="Calibri" w:hAnsi="Calibri"/>
                <w:color w:val="334155"/>
                <w:sz w:val="18"/>
              </w:rPr>
              <w:t>Redis-backed sliding-window rate limiting (e.g., max 5 failed attempts per 5 mins per IP/User) + Cloudflare Turnstile / Bot Management.</w:t>
            </w:r>
          </w:p>
        </w:tc>
      </w:tr>
      <w:tr>
        <w:tc>
          <w:tcPr>
            <w:tcW w:type="dxa" w:w="2304"/>
            <w:shd w:fill="F8FAFC"/>
            <w:tcMar>
              <w:top w:w="60" w:type="dxa"/>
              <w:bottom w:w="60" w:type="dxa"/>
              <w:left w:w="100" w:type="dxa"/>
              <w:right w:w="100" w:type="dxa"/>
            </w:tcMar>
          </w:tcPr>
          <w:p>
            <w:r>
              <w:rPr>
                <w:rFonts w:ascii="Calibri" w:hAnsi="Calibri"/>
                <w:color w:val="334155"/>
                <w:sz w:val="18"/>
              </w:rPr>
              <w:t>Broken Object-Level Auth (BOLA/IDOR)</w:t>
            </w:r>
          </w:p>
        </w:tc>
        <w:tc>
          <w:tcPr>
            <w:tcW w:type="dxa" w:w="3744"/>
            <w:shd w:fill="F8FAFC"/>
            <w:tcMar>
              <w:top w:w="60" w:type="dxa"/>
              <w:bottom w:w="60" w:type="dxa"/>
              <w:left w:w="100" w:type="dxa"/>
              <w:right w:w="100" w:type="dxa"/>
            </w:tcMar>
          </w:tcPr>
          <w:p>
            <w:r>
              <w:rPr>
                <w:rFonts w:ascii="Calibri" w:hAnsi="Calibri"/>
                <w:color w:val="334155"/>
                <w:sz w:val="18"/>
              </w:rPr>
              <w:t>Tampering with URL IDs (e.g. /projects/UUID) to access unauthorized tenant data.</w:t>
            </w:r>
          </w:p>
        </w:tc>
        <w:tc>
          <w:tcPr>
            <w:tcW w:type="dxa" w:w="3888"/>
            <w:shd w:fill="F8FAFC"/>
            <w:tcMar>
              <w:top w:w="60" w:type="dxa"/>
              <w:bottom w:w="60" w:type="dxa"/>
              <w:left w:w="100" w:type="dxa"/>
              <w:right w:w="100" w:type="dxa"/>
            </w:tcMar>
          </w:tcPr>
          <w:p>
            <w:r>
              <w:rPr>
                <w:rFonts w:ascii="Calibri" w:hAnsi="Calibri"/>
                <w:color w:val="334155"/>
                <w:sz w:val="18"/>
              </w:rPr>
              <w:t>Mandatory SQLAlchemy user_id scoping enforced inside FastAPI service dependencies on every single query.</w:t>
            </w:r>
          </w:p>
        </w:tc>
      </w:tr>
      <w:tr>
        <w:tc>
          <w:tcPr>
            <w:tcW w:type="dxa" w:w="2304"/>
            <w:shd w:fill="FFFFFF"/>
            <w:tcMar>
              <w:top w:w="60" w:type="dxa"/>
              <w:bottom w:w="60" w:type="dxa"/>
              <w:left w:w="100" w:type="dxa"/>
              <w:right w:w="100" w:type="dxa"/>
            </w:tcMar>
          </w:tcPr>
          <w:p>
            <w:r>
              <w:rPr>
                <w:rFonts w:ascii="Calibri" w:hAnsi="Calibri"/>
                <w:color w:val="334155"/>
                <w:sz w:val="18"/>
              </w:rPr>
              <w:t>Mass Assignment &amp; Schema Injection</w:t>
            </w:r>
          </w:p>
        </w:tc>
        <w:tc>
          <w:tcPr>
            <w:tcW w:type="dxa" w:w="3744"/>
            <w:shd w:fill="FFFFFF"/>
            <w:tcMar>
              <w:top w:w="60" w:type="dxa"/>
              <w:bottom w:w="60" w:type="dxa"/>
              <w:left w:w="100" w:type="dxa"/>
              <w:right w:w="100" w:type="dxa"/>
            </w:tcMar>
          </w:tcPr>
          <w:p>
            <w:r>
              <w:rPr>
                <w:rFonts w:ascii="Calibri" w:hAnsi="Calibri"/>
                <w:color w:val="334155"/>
                <w:sz w:val="18"/>
              </w:rPr>
              <w:t>Submitting undocumented malicious parameters (e.g., is_superuser: true).</w:t>
            </w:r>
          </w:p>
        </w:tc>
        <w:tc>
          <w:tcPr>
            <w:tcW w:type="dxa" w:w="3888"/>
            <w:shd w:fill="FFFFFF"/>
            <w:tcMar>
              <w:top w:w="60" w:type="dxa"/>
              <w:bottom w:w="60" w:type="dxa"/>
              <w:left w:w="100" w:type="dxa"/>
              <w:right w:w="100" w:type="dxa"/>
            </w:tcMar>
          </w:tcPr>
          <w:p>
            <w:r>
              <w:rPr>
                <w:rFonts w:ascii="Calibri" w:hAnsi="Calibri"/>
                <w:color w:val="334155"/>
                <w:sz w:val="18"/>
              </w:rPr>
              <w:t>Pydantic ConfigDict(extra='forbid') strictly rejects unmapped payload keys with 422 Unprocessable Entity.</w:t>
            </w:r>
          </w:p>
        </w:tc>
      </w:tr>
      <w:tr>
        <w:tc>
          <w:tcPr>
            <w:tcW w:type="dxa" w:w="2304"/>
            <w:shd w:fill="F8FAFC"/>
            <w:tcMar>
              <w:top w:w="60" w:type="dxa"/>
              <w:bottom w:w="60" w:type="dxa"/>
              <w:left w:w="100" w:type="dxa"/>
              <w:right w:w="100" w:type="dxa"/>
            </w:tcMar>
          </w:tcPr>
          <w:p>
            <w:r>
              <w:rPr>
                <w:rFonts w:ascii="Calibri" w:hAnsi="Calibri"/>
                <w:color w:val="334155"/>
                <w:sz w:val="18"/>
              </w:rPr>
              <w:t>SQL / NoSQL Injection</w:t>
            </w:r>
          </w:p>
        </w:tc>
        <w:tc>
          <w:tcPr>
            <w:tcW w:type="dxa" w:w="3744"/>
            <w:shd w:fill="F8FAFC"/>
            <w:tcMar>
              <w:top w:w="60" w:type="dxa"/>
              <w:bottom w:w="60" w:type="dxa"/>
              <w:left w:w="100" w:type="dxa"/>
              <w:right w:w="100" w:type="dxa"/>
            </w:tcMar>
          </w:tcPr>
          <w:p>
            <w:r>
              <w:rPr>
                <w:rFonts w:ascii="Calibri" w:hAnsi="Calibri"/>
                <w:color w:val="334155"/>
                <w:sz w:val="18"/>
              </w:rPr>
              <w:t>Crafted SQL payloads targeting raw query strings.</w:t>
            </w:r>
          </w:p>
        </w:tc>
        <w:tc>
          <w:tcPr>
            <w:tcW w:type="dxa" w:w="3888"/>
            <w:shd w:fill="F8FAFC"/>
            <w:tcMar>
              <w:top w:w="60" w:type="dxa"/>
              <w:bottom w:w="60" w:type="dxa"/>
              <w:left w:w="100" w:type="dxa"/>
              <w:right w:w="100" w:type="dxa"/>
            </w:tcMar>
          </w:tcPr>
          <w:p>
            <w:r>
              <w:rPr>
                <w:rFonts w:ascii="Calibri" w:hAnsi="Calibri"/>
                <w:color w:val="334155"/>
                <w:sz w:val="18"/>
              </w:rPr>
              <w:t>100% Parameterized queries through SQLAlchemy 2.0 ORM expressions. Raw SQL execution is banned.</w:t>
            </w:r>
          </w:p>
        </w:tc>
      </w:tr>
      <w:tr>
        <w:tc>
          <w:tcPr>
            <w:tcW w:type="dxa" w:w="2304"/>
            <w:shd w:fill="FFFFFF"/>
            <w:tcMar>
              <w:top w:w="60" w:type="dxa"/>
              <w:bottom w:w="60" w:type="dxa"/>
              <w:left w:w="100" w:type="dxa"/>
              <w:right w:w="100" w:type="dxa"/>
            </w:tcMar>
          </w:tcPr>
          <w:p>
            <w:r>
              <w:rPr>
                <w:rFonts w:ascii="Calibri" w:hAnsi="Calibri"/>
                <w:color w:val="334155"/>
                <w:sz w:val="18"/>
              </w:rPr>
              <w:t>XSS &amp; Token Hijacking</w:t>
            </w:r>
          </w:p>
        </w:tc>
        <w:tc>
          <w:tcPr>
            <w:tcW w:type="dxa" w:w="3744"/>
            <w:shd w:fill="FFFFFF"/>
            <w:tcMar>
              <w:top w:w="60" w:type="dxa"/>
              <w:bottom w:w="60" w:type="dxa"/>
              <w:left w:w="100" w:type="dxa"/>
              <w:right w:w="100" w:type="dxa"/>
            </w:tcMar>
          </w:tcPr>
          <w:p>
            <w:r>
              <w:rPr>
                <w:rFonts w:ascii="Calibri" w:hAnsi="Calibri"/>
                <w:color w:val="334155"/>
                <w:sz w:val="18"/>
              </w:rPr>
              <w:t>Malicious JavaScript injections reading local session storage.</w:t>
            </w:r>
          </w:p>
        </w:tc>
        <w:tc>
          <w:tcPr>
            <w:tcW w:type="dxa" w:w="3888"/>
            <w:shd w:fill="FFFFFF"/>
            <w:tcMar>
              <w:top w:w="60" w:type="dxa"/>
              <w:bottom w:w="60" w:type="dxa"/>
              <w:left w:w="100" w:type="dxa"/>
              <w:right w:w="100" w:type="dxa"/>
            </w:tcMar>
          </w:tcPr>
          <w:p>
            <w:r>
              <w:rPr>
                <w:rFonts w:ascii="Calibri" w:hAnsi="Calibri"/>
                <w:color w:val="334155"/>
                <w:sz w:val="18"/>
              </w:rPr>
              <w:t>In-memory token lifecycle + HttpOnly cookie isolation + Strict Content-Security-Policy (CSP) headers.</w:t>
            </w:r>
          </w:p>
        </w:tc>
      </w:tr>
    </w:tbl>
    <w:p>
      <w:pPr>
        <w:spacing w:before="0" w:after="80"/>
      </w:pPr>
    </w:p>
    <w:p>
      <w:pPr>
        <w:keepNext/>
        <w:spacing w:before="280" w:after="80"/>
      </w:pPr>
      <w:r>
        <w:rPr>
          <w:rFonts w:ascii="Calibri" w:hAnsi="Calibri"/>
          <w:b/>
          <w:color w:val="0F172A"/>
          <w:sz w:val="30"/>
        </w:rPr>
        <w:t>5. Infrastructure, CI/CD &amp; Deployment Architecture</w:t>
      </w:r>
    </w:p>
    <w:p>
      <w:pPr>
        <w:keepNext/>
        <w:spacing w:before="200" w:after="60"/>
      </w:pPr>
      <w:r>
        <w:rPr>
          <w:rFonts w:ascii="Calibri" w:hAnsi="Calibri"/>
          <w:b/>
          <w:color w:val="1E3A8A"/>
          <w:sz w:val="25"/>
        </w:rPr>
        <w:t>5.1. High-Performance Static Frontend Edge Distribution</w:t>
      </w:r>
    </w:p>
    <w:p>
      <w:r>
        <w:t>Because Vite compiles to static assets, the frontend is deployed to global CDN edge caches (Cloudflare Pages, AWS CloudFront + S3, or Nginx). Caching strategy: index.html is served with Cache-Control: no-cache, while hashed JS/CSS bundles are served with Cache-Control: public, max-age=31536000, immutable.</w:t>
      </w:r>
    </w:p>
    <w:p>
      <w:pPr>
        <w:keepNext/>
        <w:spacing w:before="200" w:after="60"/>
      </w:pPr>
      <w:r>
        <w:rPr>
          <w:rFonts w:ascii="Calibri" w:hAnsi="Calibri"/>
          <w:b/>
          <w:color w:val="1E3A8A"/>
          <w:sz w:val="25"/>
        </w:rPr>
        <w:t>5.2. Containerized FastAPI Deployment with Gunicorn &amp; Uvicorn Workers</w:t>
      </w:r>
    </w:p>
    <w:p>
      <w:r>
        <w:t>FastAPI is deployed in lightweight distroless/Alpine Docker containers managed by Gunicorn with UvicornWorker processes. For Kubernetes deployments, Horizontal Pod Autoscaling (HPA) triggers scaling based on CPU utilization (&gt;70%) and concurrent active HTTP connections.</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00" w:type="dxa"/>
              <w:right w:w="100" w:type="dxa"/>
            </w:tcMar>
            <w:tcBorders>
              <w:left w:val="single" w:sz="12" w:space="0" w:color="CBD5E1"/>
              <w:top w:val="single" w:sz="6" w:space="0" w:color="CBD5E1"/>
              <w:right w:val="single" w:sz="6" w:space="0" w:color="CBD5E1"/>
              <w:bottom w:val="single" w:sz="6" w:space="0" w:color="CBD5E1"/>
            </w:tcBorders>
          </w:tcPr>
          <w:p>
            <w:pPr>
              <w:spacing w:after="0" w:line="252" w:lineRule="auto"/>
            </w:pPr>
            <w:r>
              <w:rPr>
                <w:rFonts w:ascii="Consolas" w:hAnsi="Consolas"/>
                <w:color w:val="64748B"/>
                <w:sz w:val="17"/>
              </w:rPr>
              <w:t>// Dockerfile: Production Multi-Stage Build for FastAPI</w:t>
              <w:br/>
            </w:r>
            <w:r>
              <w:rPr>
                <w:rFonts w:ascii="Consolas" w:hAnsi="Consolas"/>
                <w:color w:val="1E293B"/>
                <w:sz w:val="17"/>
              </w:rPr>
              <w:t>FROM python:3.12-slim-bookworm AS builder</w:t>
              <w:br/>
              <w:t>WORKDIR /app</w:t>
              <w:br/>
              <w:t>RUN apt-get update &amp;&amp; apt-get install -y --no-install-recommends build-essential libpq-dev &amp;&amp; rm -rf /var/lib/apt/lists/*</w:t>
              <w:br/>
              <w:t>RUN pip install --no-cache-dir uv</w:t>
              <w:br/>
              <w:t>COPY pyproject.toml uv.lock ./</w:t>
              <w:br/>
              <w:t>RUN uv export --no-dev --format requirements-txt &gt; requirements.txt</w:t>
              <w:br/>
              <w:t>RUN pip install --no-cache-dir --prefix=/install -r requirements.txt</w:t>
              <w:br/>
              <w:br/>
              <w:t>FROM python:3.12-slim-bookworm AS runner</w:t>
              <w:br/>
              <w:t>WORKDIR /app</w:t>
              <w:br/>
              <w:t>RUN apt-get update &amp;&amp; apt-get install -y --no-install-recommends libpq5 curl &amp;&amp; rm -rf /var/lib/apt/lists/*</w:t>
              <w:br/>
              <w:t>COPY --from=builder /install /usr/local</w:t>
              <w:br/>
              <w:t>COPY . /app</w:t>
              <w:br/>
              <w:t>USER 1001:1001</w:t>
              <w:br/>
              <w:br/>
              <w:t>EXPOSE 8000</w:t>
              <w:br/>
              <w:t>CMD ["gunicorn", "main:app", "-w", "4", "-k", "uvicorn.workers.UvicornWorker", "-b", "0.0.0.0:8000", "--access-logfile", "-", "--error-logfile", "-"]</w:t>
            </w:r>
          </w:p>
        </w:tc>
      </w:tr>
    </w:tbl>
    <w:p>
      <w:pPr>
        <w:spacing w:before="0" w:after="40"/>
      </w:pPr>
    </w:p>
    <w:p>
      <w:pPr>
        <w:keepNext/>
        <w:spacing w:before="280" w:after="80"/>
      </w:pPr>
      <w:r>
        <w:rPr>
          <w:rFonts w:ascii="Calibri" w:hAnsi="Calibri"/>
          <w:b/>
          <w:color w:val="0F172A"/>
          <w:sz w:val="30"/>
        </w:rPr>
        <w:t>6. Execution Roadmap &amp; Production Readiness Checklist</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293B"/>
            <w:tcMar>
              <w:top w:w="80" w:type="dxa"/>
              <w:bottom w:w="80" w:type="dxa"/>
              <w:left w:w="100" w:type="dxa"/>
              <w:right w:w="100" w:type="dxa"/>
            </w:tcMar>
          </w:tcPr>
          <w:p>
            <w:pPr>
              <w:jc w:val="left"/>
            </w:pPr>
            <w:r>
              <w:rPr>
                <w:rFonts w:ascii="Calibri" w:hAnsi="Calibri"/>
                <w:b/>
                <w:color w:val="FFFFFF"/>
                <w:sz w:val="19"/>
              </w:rPr>
              <w:t>Phase / Domain</w:t>
            </w:r>
          </w:p>
        </w:tc>
        <w:tc>
          <w:tcPr>
            <w:tcW w:type="dxa" w:w="3888"/>
            <w:shd w:fill="1E293B"/>
            <w:tcMar>
              <w:top w:w="80" w:type="dxa"/>
              <w:bottom w:w="80" w:type="dxa"/>
              <w:left w:w="100" w:type="dxa"/>
              <w:right w:w="100" w:type="dxa"/>
            </w:tcMar>
          </w:tcPr>
          <w:p>
            <w:pPr>
              <w:jc w:val="left"/>
            </w:pPr>
            <w:r>
              <w:rPr>
                <w:rFonts w:ascii="Calibri" w:hAnsi="Calibri"/>
                <w:b/>
                <w:color w:val="FFFFFF"/>
                <w:sz w:val="19"/>
              </w:rPr>
              <w:t>Required Deliverable</w:t>
            </w:r>
          </w:p>
        </w:tc>
        <w:tc>
          <w:tcPr>
            <w:tcW w:type="dxa" w:w="3888"/>
            <w:shd w:fill="1E293B"/>
            <w:tcMar>
              <w:top w:w="80" w:type="dxa"/>
              <w:bottom w:w="80" w:type="dxa"/>
              <w:left w:w="100" w:type="dxa"/>
              <w:right w:w="100" w:type="dxa"/>
            </w:tcMar>
          </w:tcPr>
          <w:p>
            <w:pPr>
              <w:jc w:val="left"/>
            </w:pPr>
            <w:r>
              <w:rPr>
                <w:rFonts w:ascii="Calibri" w:hAnsi="Calibri"/>
                <w:b/>
                <w:color w:val="FFFFFF"/>
                <w:sz w:val="19"/>
              </w:rPr>
              <w:t>Verification Standard</w:t>
            </w:r>
          </w:p>
        </w:tc>
      </w:tr>
      <w:tr>
        <w:tc>
          <w:tcPr>
            <w:tcW w:type="dxa" w:w="2160"/>
            <w:shd w:fill="FFFFFF"/>
            <w:tcMar>
              <w:top w:w="60" w:type="dxa"/>
              <w:bottom w:w="60" w:type="dxa"/>
              <w:left w:w="100" w:type="dxa"/>
              <w:right w:w="100" w:type="dxa"/>
            </w:tcMar>
          </w:tcPr>
          <w:p>
            <w:r>
              <w:rPr>
                <w:rFonts w:ascii="Calibri" w:hAnsi="Calibri"/>
                <w:color w:val="334155"/>
                <w:sz w:val="18"/>
              </w:rPr>
              <w:t>Phase 1: Project Setup</w:t>
            </w:r>
          </w:p>
        </w:tc>
        <w:tc>
          <w:tcPr>
            <w:tcW w:type="dxa" w:w="3888"/>
            <w:shd w:fill="FFFFFF"/>
            <w:tcMar>
              <w:top w:w="60" w:type="dxa"/>
              <w:bottom w:w="60" w:type="dxa"/>
              <w:left w:w="100" w:type="dxa"/>
              <w:right w:w="100" w:type="dxa"/>
            </w:tcMar>
          </w:tcPr>
          <w:p>
            <w:r>
              <w:rPr>
                <w:rFonts w:ascii="Calibri" w:hAnsi="Calibri"/>
                <w:color w:val="334155"/>
                <w:sz w:val="18"/>
              </w:rPr>
              <w:t>Vite + TypeScript + Tailwind + TanStack Router/Query</w:t>
            </w:r>
          </w:p>
        </w:tc>
        <w:tc>
          <w:tcPr>
            <w:tcW w:type="dxa" w:w="3888"/>
            <w:shd w:fill="FFFFFF"/>
            <w:tcMar>
              <w:top w:w="60" w:type="dxa"/>
              <w:bottom w:w="60" w:type="dxa"/>
              <w:left w:w="100" w:type="dxa"/>
              <w:right w:w="100" w:type="dxa"/>
            </w:tcMar>
          </w:tcPr>
          <w:p>
            <w:r>
              <w:rPr>
                <w:rFonts w:ascii="Calibri" w:hAnsi="Calibri"/>
                <w:color w:val="334155"/>
                <w:sz w:val="18"/>
              </w:rPr>
              <w:t>Sub-second HMR, strict TS compiler flags</w:t>
            </w:r>
          </w:p>
        </w:tc>
      </w:tr>
      <w:tr>
        <w:tc>
          <w:tcPr>
            <w:tcW w:type="dxa" w:w="2160"/>
            <w:shd w:fill="F8FAFC"/>
            <w:tcMar>
              <w:top w:w="60" w:type="dxa"/>
              <w:bottom w:w="60" w:type="dxa"/>
              <w:left w:w="100" w:type="dxa"/>
              <w:right w:w="100" w:type="dxa"/>
            </w:tcMar>
          </w:tcPr>
          <w:p>
            <w:r>
              <w:rPr>
                <w:rFonts w:ascii="Calibri" w:hAnsi="Calibri"/>
                <w:color w:val="334155"/>
                <w:sz w:val="18"/>
              </w:rPr>
              <w:t>Phase 1: Project Setup</w:t>
            </w:r>
          </w:p>
        </w:tc>
        <w:tc>
          <w:tcPr>
            <w:tcW w:type="dxa" w:w="3888"/>
            <w:shd w:fill="F8FAFC"/>
            <w:tcMar>
              <w:top w:w="60" w:type="dxa"/>
              <w:bottom w:w="60" w:type="dxa"/>
              <w:left w:w="100" w:type="dxa"/>
              <w:right w:w="100" w:type="dxa"/>
            </w:tcMar>
          </w:tcPr>
          <w:p>
            <w:r>
              <w:rPr>
                <w:rFonts w:ascii="Calibri" w:hAnsi="Calibri"/>
                <w:color w:val="334155"/>
                <w:sz w:val="18"/>
              </w:rPr>
              <w:t>FastAPI + Pydantic v2 + Ruff linter + UV package manager</w:t>
            </w:r>
          </w:p>
        </w:tc>
        <w:tc>
          <w:tcPr>
            <w:tcW w:type="dxa" w:w="3888"/>
            <w:shd w:fill="F8FAFC"/>
            <w:tcMar>
              <w:top w:w="60" w:type="dxa"/>
              <w:bottom w:w="60" w:type="dxa"/>
              <w:left w:w="100" w:type="dxa"/>
              <w:right w:w="100" w:type="dxa"/>
            </w:tcMar>
          </w:tcPr>
          <w:p>
            <w:r>
              <w:rPr>
                <w:rFonts w:ascii="Calibri" w:hAnsi="Calibri"/>
                <w:color w:val="334155"/>
                <w:sz w:val="18"/>
              </w:rPr>
              <w:t>Fast build times, automatic OpenAPI JSON generation</w:t>
            </w:r>
          </w:p>
        </w:tc>
      </w:tr>
      <w:tr>
        <w:tc>
          <w:tcPr>
            <w:tcW w:type="dxa" w:w="2160"/>
            <w:shd w:fill="FFFFFF"/>
            <w:tcMar>
              <w:top w:w="60" w:type="dxa"/>
              <w:bottom w:w="60" w:type="dxa"/>
              <w:left w:w="100" w:type="dxa"/>
              <w:right w:w="100" w:type="dxa"/>
            </w:tcMar>
          </w:tcPr>
          <w:p>
            <w:r>
              <w:rPr>
                <w:rFonts w:ascii="Calibri" w:hAnsi="Calibri"/>
                <w:color w:val="334155"/>
                <w:sz w:val="18"/>
              </w:rPr>
              <w:t>Phase 2: Data &amp; Contracts</w:t>
            </w:r>
          </w:p>
        </w:tc>
        <w:tc>
          <w:tcPr>
            <w:tcW w:type="dxa" w:w="3888"/>
            <w:shd w:fill="FFFFFF"/>
            <w:tcMar>
              <w:top w:w="60" w:type="dxa"/>
              <w:bottom w:w="60" w:type="dxa"/>
              <w:left w:w="100" w:type="dxa"/>
              <w:right w:w="100" w:type="dxa"/>
            </w:tcMar>
          </w:tcPr>
          <w:p>
            <w:r>
              <w:rPr>
                <w:rFonts w:ascii="Calibri" w:hAnsi="Calibri"/>
                <w:color w:val="334155"/>
                <w:sz w:val="18"/>
              </w:rPr>
              <w:t>SQLAlchemy 2.0 asyncpg models + Alembic migrations</w:t>
            </w:r>
          </w:p>
        </w:tc>
        <w:tc>
          <w:tcPr>
            <w:tcW w:type="dxa" w:w="3888"/>
            <w:shd w:fill="FFFFFF"/>
            <w:tcMar>
              <w:top w:w="60" w:type="dxa"/>
              <w:bottom w:w="60" w:type="dxa"/>
              <w:left w:w="100" w:type="dxa"/>
              <w:right w:w="100" w:type="dxa"/>
            </w:tcMar>
          </w:tcPr>
          <w:p>
            <w:r>
              <w:rPr>
                <w:rFonts w:ascii="Calibri" w:hAnsi="Calibri"/>
                <w:color w:val="334155"/>
                <w:sz w:val="18"/>
              </w:rPr>
              <w:t>Zero synchronous blocking calls, connection pool tests</w:t>
            </w:r>
          </w:p>
        </w:tc>
      </w:tr>
      <w:tr>
        <w:tc>
          <w:tcPr>
            <w:tcW w:type="dxa" w:w="2160"/>
            <w:shd w:fill="F8FAFC"/>
            <w:tcMar>
              <w:top w:w="60" w:type="dxa"/>
              <w:bottom w:w="60" w:type="dxa"/>
              <w:left w:w="100" w:type="dxa"/>
              <w:right w:w="100" w:type="dxa"/>
            </w:tcMar>
          </w:tcPr>
          <w:p>
            <w:r>
              <w:rPr>
                <w:rFonts w:ascii="Calibri" w:hAnsi="Calibri"/>
                <w:color w:val="334155"/>
                <w:sz w:val="18"/>
              </w:rPr>
              <w:t>Phase 2: Data &amp; Contracts</w:t>
            </w:r>
          </w:p>
        </w:tc>
        <w:tc>
          <w:tcPr>
            <w:tcW w:type="dxa" w:w="3888"/>
            <w:shd w:fill="F8FAFC"/>
            <w:tcMar>
              <w:top w:w="60" w:type="dxa"/>
              <w:bottom w:w="60" w:type="dxa"/>
              <w:left w:w="100" w:type="dxa"/>
              <w:right w:w="100" w:type="dxa"/>
            </w:tcMar>
          </w:tcPr>
          <w:p>
            <w:r>
              <w:rPr>
                <w:rFonts w:ascii="Calibri" w:hAnsi="Calibri"/>
                <w:color w:val="334155"/>
                <w:sz w:val="18"/>
              </w:rPr>
              <w:t>OpenAPI TS Code Generator pipeline (@hey-api/openapi-ts)</w:t>
            </w:r>
          </w:p>
        </w:tc>
        <w:tc>
          <w:tcPr>
            <w:tcW w:type="dxa" w:w="3888"/>
            <w:shd w:fill="F8FAFC"/>
            <w:tcMar>
              <w:top w:w="60" w:type="dxa"/>
              <w:bottom w:w="60" w:type="dxa"/>
              <w:left w:w="100" w:type="dxa"/>
              <w:right w:w="100" w:type="dxa"/>
            </w:tcMar>
          </w:tcPr>
          <w:p>
            <w:r>
              <w:rPr>
                <w:rFonts w:ascii="Calibri" w:hAnsi="Calibri"/>
                <w:color w:val="334155"/>
                <w:sz w:val="18"/>
              </w:rPr>
              <w:t>Automatic frontend type &amp; query sync on backend save</w:t>
            </w:r>
          </w:p>
        </w:tc>
      </w:tr>
      <w:tr>
        <w:tc>
          <w:tcPr>
            <w:tcW w:type="dxa" w:w="2160"/>
            <w:shd w:fill="FFFFFF"/>
            <w:tcMar>
              <w:top w:w="60" w:type="dxa"/>
              <w:bottom w:w="60" w:type="dxa"/>
              <w:left w:w="100" w:type="dxa"/>
              <w:right w:w="100" w:type="dxa"/>
            </w:tcMar>
          </w:tcPr>
          <w:p>
            <w:r>
              <w:rPr>
                <w:rFonts w:ascii="Calibri" w:hAnsi="Calibri"/>
                <w:color w:val="334155"/>
                <w:sz w:val="18"/>
              </w:rPr>
              <w:t>Phase 3: Auth &amp; Security</w:t>
            </w:r>
          </w:p>
        </w:tc>
        <w:tc>
          <w:tcPr>
            <w:tcW w:type="dxa" w:w="3888"/>
            <w:shd w:fill="FFFFFF"/>
            <w:tcMar>
              <w:top w:w="60" w:type="dxa"/>
              <w:bottom w:w="60" w:type="dxa"/>
              <w:left w:w="100" w:type="dxa"/>
              <w:right w:w="100" w:type="dxa"/>
            </w:tcMar>
          </w:tcPr>
          <w:p>
            <w:r>
              <w:rPr>
                <w:rFonts w:ascii="Calibri" w:hAnsi="Calibri"/>
                <w:color w:val="334155"/>
                <w:sz w:val="18"/>
              </w:rPr>
              <w:t>JWT in-memory + HttpOnly Cookie Refresh Rotation</w:t>
            </w:r>
          </w:p>
        </w:tc>
        <w:tc>
          <w:tcPr>
            <w:tcW w:type="dxa" w:w="3888"/>
            <w:shd w:fill="FFFFFF"/>
            <w:tcMar>
              <w:top w:w="60" w:type="dxa"/>
              <w:bottom w:w="60" w:type="dxa"/>
              <w:left w:w="100" w:type="dxa"/>
              <w:right w:w="100" w:type="dxa"/>
            </w:tcMar>
          </w:tcPr>
          <w:p>
            <w:r>
              <w:rPr>
                <w:rFonts w:ascii="Calibri" w:hAnsi="Calibri"/>
                <w:color w:val="334155"/>
                <w:sz w:val="18"/>
              </w:rPr>
              <w:t>Token replay detection and CSRF protection validated</w:t>
            </w:r>
          </w:p>
        </w:tc>
      </w:tr>
      <w:tr>
        <w:tc>
          <w:tcPr>
            <w:tcW w:type="dxa" w:w="2160"/>
            <w:shd w:fill="F8FAFC"/>
            <w:tcMar>
              <w:top w:w="60" w:type="dxa"/>
              <w:bottom w:w="60" w:type="dxa"/>
              <w:left w:w="100" w:type="dxa"/>
              <w:right w:w="100" w:type="dxa"/>
            </w:tcMar>
          </w:tcPr>
          <w:p>
            <w:r>
              <w:rPr>
                <w:rFonts w:ascii="Calibri" w:hAnsi="Calibri"/>
                <w:color w:val="334155"/>
                <w:sz w:val="18"/>
              </w:rPr>
              <w:t>Phase 3: Auth &amp; Security</w:t>
            </w:r>
          </w:p>
        </w:tc>
        <w:tc>
          <w:tcPr>
            <w:tcW w:type="dxa" w:w="3888"/>
            <w:shd w:fill="F8FAFC"/>
            <w:tcMar>
              <w:top w:w="60" w:type="dxa"/>
              <w:bottom w:w="60" w:type="dxa"/>
              <w:left w:w="100" w:type="dxa"/>
              <w:right w:w="100" w:type="dxa"/>
            </w:tcMar>
          </w:tcPr>
          <w:p>
            <w:r>
              <w:rPr>
                <w:rFonts w:ascii="Calibri" w:hAnsi="Calibri"/>
                <w:color w:val="334155"/>
                <w:sz w:val="18"/>
              </w:rPr>
              <w:t>Redis sliding-window rate limiter &amp; Security headers</w:t>
            </w:r>
          </w:p>
        </w:tc>
        <w:tc>
          <w:tcPr>
            <w:tcW w:type="dxa" w:w="3888"/>
            <w:shd w:fill="F8FAFC"/>
            <w:tcMar>
              <w:top w:w="60" w:type="dxa"/>
              <w:bottom w:w="60" w:type="dxa"/>
              <w:left w:w="100" w:type="dxa"/>
              <w:right w:w="100" w:type="dxa"/>
            </w:tcMar>
          </w:tcPr>
          <w:p>
            <w:r>
              <w:rPr>
                <w:rFonts w:ascii="Calibri" w:hAnsi="Calibri"/>
                <w:color w:val="334155"/>
                <w:sz w:val="18"/>
              </w:rPr>
              <w:t>Tested against OWASP Top 10 automated test suites</w:t>
            </w:r>
          </w:p>
        </w:tc>
      </w:tr>
      <w:tr>
        <w:tc>
          <w:tcPr>
            <w:tcW w:type="dxa" w:w="2160"/>
            <w:shd w:fill="FFFFFF"/>
            <w:tcMar>
              <w:top w:w="60" w:type="dxa"/>
              <w:bottom w:w="60" w:type="dxa"/>
              <w:left w:w="100" w:type="dxa"/>
              <w:right w:w="100" w:type="dxa"/>
            </w:tcMar>
          </w:tcPr>
          <w:p>
            <w:r>
              <w:rPr>
                <w:rFonts w:ascii="Calibri" w:hAnsi="Calibri"/>
                <w:color w:val="334155"/>
                <w:sz w:val="18"/>
              </w:rPr>
              <w:t>Phase 4: Optimization</w:t>
            </w:r>
          </w:p>
        </w:tc>
        <w:tc>
          <w:tcPr>
            <w:tcW w:type="dxa" w:w="3888"/>
            <w:shd w:fill="FFFFFF"/>
            <w:tcMar>
              <w:top w:w="60" w:type="dxa"/>
              <w:bottom w:w="60" w:type="dxa"/>
              <w:left w:w="100" w:type="dxa"/>
              <w:right w:w="100" w:type="dxa"/>
            </w:tcMar>
          </w:tcPr>
          <w:p>
            <w:r>
              <w:rPr>
                <w:rFonts w:ascii="Calibri" w:hAnsi="Calibri"/>
                <w:color w:val="334155"/>
                <w:sz w:val="18"/>
              </w:rPr>
              <w:t>Vite dynamic chunk splitting + React.lazy route loading</w:t>
            </w:r>
          </w:p>
        </w:tc>
        <w:tc>
          <w:tcPr>
            <w:tcW w:type="dxa" w:w="3888"/>
            <w:shd w:fill="FFFFFF"/>
            <w:tcMar>
              <w:top w:w="60" w:type="dxa"/>
              <w:bottom w:w="60" w:type="dxa"/>
              <w:left w:w="100" w:type="dxa"/>
              <w:right w:w="100" w:type="dxa"/>
            </w:tcMar>
          </w:tcPr>
          <w:p>
            <w:r>
              <w:rPr>
                <w:rFonts w:ascii="Calibri" w:hAnsi="Calibri"/>
                <w:color w:val="334155"/>
                <w:sz w:val="18"/>
              </w:rPr>
              <w:t>Lighthouse Performance Score &gt;= 95, initial bundle &lt; 150KB</w:t>
            </w:r>
          </w:p>
        </w:tc>
      </w:tr>
      <w:tr>
        <w:tc>
          <w:tcPr>
            <w:tcW w:type="dxa" w:w="2160"/>
            <w:shd w:fill="F8FAFC"/>
            <w:tcMar>
              <w:top w:w="60" w:type="dxa"/>
              <w:bottom w:w="60" w:type="dxa"/>
              <w:left w:w="100" w:type="dxa"/>
              <w:right w:w="100" w:type="dxa"/>
            </w:tcMar>
          </w:tcPr>
          <w:p>
            <w:r>
              <w:rPr>
                <w:rFonts w:ascii="Calibri" w:hAnsi="Calibri"/>
                <w:color w:val="334155"/>
                <w:sz w:val="18"/>
              </w:rPr>
              <w:t>Phase 4: Optimization</w:t>
            </w:r>
          </w:p>
        </w:tc>
        <w:tc>
          <w:tcPr>
            <w:tcW w:type="dxa" w:w="3888"/>
            <w:shd w:fill="F8FAFC"/>
            <w:tcMar>
              <w:top w:w="60" w:type="dxa"/>
              <w:bottom w:w="60" w:type="dxa"/>
              <w:left w:w="100" w:type="dxa"/>
              <w:right w:w="100" w:type="dxa"/>
            </w:tcMar>
          </w:tcPr>
          <w:p>
            <w:r>
              <w:rPr>
                <w:rFonts w:ascii="Calibri" w:hAnsi="Calibri"/>
                <w:color w:val="334155"/>
                <w:sz w:val="18"/>
              </w:rPr>
              <w:t>OpenTelemetry distributed tracing + Structlog JSON logging</w:t>
            </w:r>
          </w:p>
        </w:tc>
        <w:tc>
          <w:tcPr>
            <w:tcW w:type="dxa" w:w="3888"/>
            <w:shd w:fill="F8FAFC"/>
            <w:tcMar>
              <w:top w:w="60" w:type="dxa"/>
              <w:bottom w:w="60" w:type="dxa"/>
              <w:left w:w="100" w:type="dxa"/>
              <w:right w:w="100" w:type="dxa"/>
            </w:tcMar>
          </w:tcPr>
          <w:p>
            <w:r>
              <w:rPr>
                <w:rFonts w:ascii="Calibri" w:hAnsi="Calibri"/>
                <w:color w:val="334155"/>
                <w:sz w:val="18"/>
              </w:rPr>
              <w:t>Real-time metrics export to Prometheus / Grafana</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ECFDF5"/>
            <w:tcMar>
              <w:top w:w="100" w:type="dxa"/>
              <w:bottom w:w="100" w:type="dxa"/>
              <w:left w:w="140" w:type="dxa"/>
              <w:right w:w="140" w:type="dxa"/>
            </w:tcMar>
            <w:tcBorders>
              <w:left w:val="single" w:sz="24" w:space="0" w:color="059669"/>
              <w:top w:val="none"/>
              <w:right w:val="none"/>
              <w:bottom w:val="none"/>
            </w:tcBorders>
          </w:tcPr>
          <w:p>
            <w:pPr>
              <w:spacing w:after="40"/>
            </w:pPr>
            <w:r>
              <w:rPr>
                <w:b/>
                <w:color w:val="1E3A8A"/>
                <w:sz w:val="19"/>
              </w:rPr>
              <w:t>■ FINAL EXECUTION DIRECTIVE</w:t>
              <w:br/>
            </w:r>
            <w:r>
              <w:rPr>
                <w:color w:val="334155"/>
                <w:sz w:val="19"/>
              </w:rPr>
              <w:t>FINAL ARCHITECTURAL VERDICT: The Vite + React + Zustand + TanStack Query + FastAPI architecture is officially APPROVED for immediate development and production rollout. Teams may proceed with sprint execution following the codified patterns and security mandates outlined in this blueprint.</w:t>
            </w:r>
          </w:p>
        </w:tc>
      </w:tr>
    </w:tbl>
    <w:p>
      <w:pPr>
        <w:spacing w:before="0"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