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0"/>
        </w:rPr>
        <w:t>ENTERPRISE ZERO-TRUST ARCHITECTURE &amp; DEVSECOPS SPECIFICATION</w:t>
      </w:r>
    </w:p>
    <w:p>
      <w:pPr>
        <w:jc w:val="center"/>
      </w:pPr>
      <w:r>
        <w:rPr>
          <w:rFonts w:ascii="Arial" w:hAnsi="Arial"/>
          <w:color w:val="0E7490"/>
          <w:sz w:val="24"/>
        </w:rPr>
        <w:t>Part 2: Workload Identity Federation (WIF), Automated Secret Governance, and SIEM Incident Response</w:t>
      </w:r>
    </w:p>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F8FAFC"/>
            <w:tcMar>
              <w:top w:w="60" w:type="dxa"/>
              <w:bottom w:w="60" w:type="dxa"/>
              <w:left w:w="100" w:type="dxa"/>
              <w:right w:w="100" w:type="dxa"/>
            </w:tcMar>
          </w:tcPr>
          <w:p>
            <w:r>
              <w:rPr>
                <w:rFonts w:ascii="Arial" w:hAnsi="Arial"/>
                <w:b/>
                <w:color w:val="0F172A"/>
                <w:sz w:val="19"/>
              </w:rPr>
              <w:t>Architecture Target:</w:t>
            </w:r>
          </w:p>
        </w:tc>
        <w:tc>
          <w:tcPr>
            <w:tcW w:type="dxa" w:w="6480"/>
            <w:shd w:val="clear" w:color="auto" w:fill="FFFFFF"/>
            <w:tcMar>
              <w:top w:w="60" w:type="dxa"/>
              <w:bottom w:w="60" w:type="dxa"/>
              <w:left w:w="100" w:type="dxa"/>
              <w:right w:w="100" w:type="dxa"/>
            </w:tcMar>
          </w:tcPr>
          <w:p>
            <w:r>
              <w:rPr>
                <w:rFonts w:ascii="Arial" w:hAnsi="Arial"/>
                <w:color w:val="334155"/>
                <w:sz w:val="19"/>
              </w:rPr>
              <w:t>Google Cloud Platform (GCP) &amp; GitHub Actions DevSecOps</w:t>
            </w:r>
          </w:p>
        </w:tc>
      </w:tr>
      <w:tr>
        <w:tc>
          <w:tcPr>
            <w:tcW w:type="dxa" w:w="3168"/>
            <w:shd w:val="clear" w:color="auto" w:fill="F8FAFC"/>
            <w:tcMar>
              <w:top w:w="60" w:type="dxa"/>
              <w:bottom w:w="60" w:type="dxa"/>
              <w:left w:w="100" w:type="dxa"/>
              <w:right w:w="100" w:type="dxa"/>
            </w:tcMar>
          </w:tcPr>
          <w:p>
            <w:r>
              <w:rPr>
                <w:rFonts w:ascii="Arial" w:hAnsi="Arial"/>
                <w:b/>
                <w:color w:val="0F172A"/>
                <w:sz w:val="19"/>
              </w:rPr>
              <w:t>Key Objective:</w:t>
            </w:r>
          </w:p>
        </w:tc>
        <w:tc>
          <w:tcPr>
            <w:tcW w:type="dxa" w:w="6480"/>
            <w:shd w:val="clear" w:color="auto" w:fill="FFFFFF"/>
            <w:tcMar>
              <w:top w:w="60" w:type="dxa"/>
              <w:bottom w:w="60" w:type="dxa"/>
              <w:left w:w="100" w:type="dxa"/>
              <w:right w:w="100" w:type="dxa"/>
            </w:tcMar>
          </w:tcPr>
          <w:p>
            <w:r>
              <w:rPr>
                <w:rFonts w:ascii="Arial" w:hAnsi="Arial"/>
                <w:color w:val="334155"/>
                <w:sz w:val="19"/>
              </w:rPr>
              <w:t>Zero-Static-Keys Policy &amp; Keyless Cloud Authentication (WIF)</w:t>
            </w:r>
          </w:p>
        </w:tc>
      </w:tr>
      <w:tr>
        <w:tc>
          <w:tcPr>
            <w:tcW w:type="dxa" w:w="3168"/>
            <w:shd w:val="clear" w:color="auto" w:fill="F8FAFC"/>
            <w:tcMar>
              <w:top w:w="60" w:type="dxa"/>
              <w:bottom w:w="60" w:type="dxa"/>
              <w:left w:w="100" w:type="dxa"/>
              <w:right w:w="100" w:type="dxa"/>
            </w:tcMar>
          </w:tcPr>
          <w:p>
            <w:r>
              <w:rPr>
                <w:rFonts w:ascii="Arial" w:hAnsi="Arial"/>
                <w:b/>
                <w:color w:val="0F172A"/>
                <w:sz w:val="19"/>
              </w:rPr>
              <w:t>Security Standards:</w:t>
            </w:r>
          </w:p>
        </w:tc>
        <w:tc>
          <w:tcPr>
            <w:tcW w:type="dxa" w:w="6480"/>
            <w:shd w:val="clear" w:color="auto" w:fill="FFFFFF"/>
            <w:tcMar>
              <w:top w:w="60" w:type="dxa"/>
              <w:bottom w:w="60" w:type="dxa"/>
              <w:left w:w="100" w:type="dxa"/>
              <w:right w:w="100" w:type="dxa"/>
            </w:tcMar>
          </w:tcPr>
          <w:p>
            <w:r>
              <w:rPr>
                <w:rFonts w:ascii="Arial" w:hAnsi="Arial"/>
                <w:color w:val="334155"/>
                <w:sz w:val="19"/>
              </w:rPr>
              <w:t>NIST SP 800-207 (Zero Trust), SOC 2 Type II, ISO/IEC 27001:2022</w:t>
            </w:r>
          </w:p>
        </w:tc>
      </w:tr>
      <w:tr>
        <w:tc>
          <w:tcPr>
            <w:tcW w:type="dxa" w:w="3168"/>
            <w:shd w:val="clear" w:color="auto" w:fill="F8FAFC"/>
            <w:tcMar>
              <w:top w:w="60" w:type="dxa"/>
              <w:bottom w:w="60" w:type="dxa"/>
              <w:left w:w="100" w:type="dxa"/>
              <w:right w:w="100" w:type="dxa"/>
            </w:tcMar>
          </w:tcPr>
          <w:p>
            <w:r>
              <w:rPr>
                <w:rFonts w:ascii="Arial" w:hAnsi="Arial"/>
                <w:b/>
                <w:color w:val="0F172A"/>
                <w:sz w:val="19"/>
              </w:rPr>
              <w:t>Classification:</w:t>
            </w:r>
          </w:p>
        </w:tc>
        <w:tc>
          <w:tcPr>
            <w:tcW w:type="dxa" w:w="6480"/>
            <w:shd w:val="clear" w:color="auto" w:fill="FFFFFF"/>
            <w:tcMar>
              <w:top w:w="60" w:type="dxa"/>
              <w:bottom w:w="60" w:type="dxa"/>
              <w:left w:w="100" w:type="dxa"/>
              <w:right w:w="100" w:type="dxa"/>
            </w:tcMar>
          </w:tcPr>
          <w:p>
            <w:r>
              <w:rPr>
                <w:rFonts w:ascii="Arial" w:hAnsi="Arial"/>
                <w:color w:val="334155"/>
                <w:sz w:val="19"/>
              </w:rPr>
              <w:t>Enterprise IAM Blueprint &amp; Production Hardening Framework</w:t>
            </w:r>
          </w:p>
        </w:tc>
      </w:tr>
    </w:tbl>
    <w:p/>
    <w:p>
      <w:pPr>
        <w:pStyle w:val="Heading1"/>
      </w:pPr>
      <w:r>
        <w:rPr>
          <w:rFonts w:ascii="Arial" w:hAnsi="Arial"/>
          <w:b/>
          <w:color w:val="0F172A"/>
        </w:rPr>
        <w:t>1. Zero-Trust Identity: Eliminating Long-Lived GCP JSON Keys</w:t>
      </w:r>
    </w:p>
    <w:p>
      <w:pPr>
        <w:spacing w:line="276" w:lineRule="auto"/>
      </w:pPr>
      <w:r>
        <w:t xml:space="preserve">Static JSON credentials (such as 'api-sapa-yanfaskes-ff8b6eb89317.json') represent the single largest vector of credential leakage in modern software engineering. In accordance with NIST SP 800-207 Zero Trust guidelines, all static private keys must be deprecate-retired in favor of </w:t>
      </w:r>
      <w:r>
        <w:rPr>
          <w:b/>
        </w:rPr>
        <w:t>Workload Identity Federation (WIF)</w:t>
      </w:r>
      <w:r>
        <w:t>. WIF leverages OpenID Connect (OIDC) token exchange to issue short-lived, cryptographically signed STS (Security Token Service) access tokens directly to GitHub Actions and runtime workloads without any long-lived secret ever being generated, stored, or exposed.</w:t>
      </w:r>
    </w:p>
    <w:tbl>
      <w:tblPr>
        <w:tblW w:type="auto" w:w="0"/>
        <w:jc w:val="center"/>
        <w:tblLayout w:type="fixed"/>
        <w:tblLook w:firstColumn="1" w:firstRow="1" w:lastColumn="0" w:lastRow="0" w:noHBand="0" w:noVBand="1" w:val="04A0"/>
      </w:tblPr>
      <w:tblGrid>
        <w:gridCol w:w="4824"/>
        <w:gridCol w:w="4824"/>
      </w:tblGrid>
      <w:tr>
        <w:tc>
          <w:tcPr>
            <w:tcW w:type="dxa" w:w="4824"/>
            <w:shd w:val="clear" w:color="auto" w:fill="FEF2F2"/>
            <w:tcMar>
              <w:top w:w="70" w:type="dxa"/>
              <w:bottom w:w="70" w:type="dxa"/>
              <w:left w:w="100" w:type="dxa"/>
              <w:right w:w="100" w:type="dxa"/>
            </w:tcMar>
          </w:tcPr>
          <w:p>
            <w:r>
              <w:rPr>
                <w:rFonts w:ascii="Arial" w:hAnsi="Arial"/>
                <w:b/>
                <w:color w:val="991B1B"/>
                <w:sz w:val="19"/>
              </w:rPr>
              <w:t>Legacy Static Key Architecture (Vulnerable)</w:t>
            </w:r>
          </w:p>
        </w:tc>
        <w:tc>
          <w:tcPr>
            <w:tcW w:type="dxa" w:w="4824"/>
            <w:shd w:val="clear" w:color="auto" w:fill="F0FDF4"/>
            <w:tcMar>
              <w:top w:w="70" w:type="dxa"/>
              <w:bottom w:w="70" w:type="dxa"/>
              <w:left w:w="100" w:type="dxa"/>
              <w:right w:w="100" w:type="dxa"/>
            </w:tcMar>
          </w:tcPr>
          <w:p>
            <w:r>
              <w:rPr>
                <w:rFonts w:ascii="Arial" w:hAnsi="Arial"/>
                <w:b/>
                <w:color w:val="166534"/>
                <w:sz w:val="19"/>
              </w:rPr>
              <w:t>Modern Keyless WIF Architecture (Zero Trust)</w:t>
            </w:r>
          </w:p>
        </w:tc>
      </w:tr>
      <w:tr>
        <w:tc>
          <w:tcPr>
            <w:tcW w:type="dxa" w:w="4824"/>
            <w:shd w:val="clear" w:color="auto" w:fill="FFF5F5"/>
            <w:tcMar>
              <w:top w:w="80" w:type="dxa"/>
              <w:bottom w:w="80" w:type="dxa"/>
              <w:left w:w="100" w:type="dxa"/>
              <w:right w:w="100" w:type="dxa"/>
            </w:tcMar>
          </w:tcPr>
          <w:p>
            <w:r>
              <w:rPr>
                <w:rFonts w:ascii="Arial" w:hAnsi="Arial"/>
                <w:color w:val="334155"/>
                <w:sz w:val="17"/>
              </w:rPr>
              <w:t>• Requires generating and exporting private JSON keys</w:t>
              <w:br/>
              <w:t>• Keys never expire unless manually rotated</w:t>
              <w:br/>
              <w:t>• High risk of accidental commit / hardcoding</w:t>
              <w:br/>
              <w:t>• Stored on developer laptops and CI/CD secrets</w:t>
            </w:r>
          </w:p>
        </w:tc>
        <w:tc>
          <w:tcPr>
            <w:tcW w:type="dxa" w:w="4824"/>
            <w:shd w:val="clear" w:color="auto" w:fill="F7FEE7"/>
            <w:tcMar>
              <w:top w:w="80" w:type="dxa"/>
              <w:bottom w:w="80" w:type="dxa"/>
              <w:left w:w="100" w:type="dxa"/>
              <w:right w:w="100" w:type="dxa"/>
            </w:tcMar>
          </w:tcPr>
          <w:p>
            <w:r>
              <w:rPr>
                <w:rFonts w:ascii="Arial" w:hAnsi="Arial"/>
                <w:color w:val="334155"/>
                <w:sz w:val="17"/>
              </w:rPr>
              <w:t>• Zero JSON keys generated or exported</w:t>
              <w:br/>
              <w:t>• Short-lived OIDC tokens (valid 1 hour or less)</w:t>
              <w:br/>
              <w:t>• Automated identity attestation via GitHub token</w:t>
              <w:br/>
              <w:t>• Granular IAM attribute conditions (repo, branch, ref)</w:t>
            </w:r>
          </w:p>
        </w:tc>
      </w:tr>
      <w:tr>
        <w:tc>
          <w:tcPr>
            <w:tcW w:type="dxa" w:w="4824"/>
          </w:tcPr>
          <w:p/>
        </w:tc>
        <w:tc>
          <w:tcPr>
            <w:tcW w:type="dxa" w:w="4824"/>
          </w:tcPr>
          <w:p/>
        </w:tc>
      </w:tr>
    </w:tbl>
    <w:p/>
    <w:p>
      <w:pPr>
        <w:pStyle w:val="Heading1"/>
      </w:pPr>
      <w:r>
        <w:rPr>
          <w:rFonts w:ascii="Arial" w:hAnsi="Arial"/>
          <w:b/>
          <w:color w:val="0F172A"/>
        </w:rPr>
        <w:t>2. Step-by-Step GCP Workload Identity Federation Setup</w:t>
      </w:r>
    </w:p>
    <w:p>
      <w:pPr>
        <w:spacing w:line="276" w:lineRule="auto"/>
      </w:pPr>
      <w:r>
        <w:t>Execute the following Google Cloud CLI commands to provision the Workload Identity Pool, link the GitHub OIDC provider, and establish attribute condition filters restricting token exchange strictly to repository 'andre1092/sapa-yanfaskes'.</w:t>
      </w:r>
    </w:p>
    <w:tbl>
      <w:tblPr>
        <w:tblW w:type="auto" w:w="0"/>
        <w:jc w:val="center"/>
        <w:tblLook w:firstColumn="1" w:firstRow="1" w:lastColumn="0" w:lastRow="0" w:noHBand="0" w:noVBand="1" w:val="04A0"/>
      </w:tblPr>
      <w:tblGrid>
        <w:gridCol w:w="9648"/>
      </w:tblGrid>
      <w:tr>
        <w:tc>
          <w:tcPr>
            <w:tcW w:type="dxa" w:w="9648"/>
            <w:shd w:val="clear" w:color="auto" w:fill="F1F5F9"/>
            <w:tcMar>
              <w:top w:w="100" w:type="dxa"/>
              <w:bottom w:w="100" w:type="dxa"/>
              <w:left w:w="150" w:type="dxa"/>
              <w:right w:w="150" w:type="dxa"/>
            </w:tcMar>
          </w:tcPr>
          <w:p>
            <w:r>
              <w:rPr>
                <w:rFonts w:ascii="Courier New" w:hAnsi="Courier New"/>
                <w:color w:val="0F172A"/>
                <w:sz w:val="17"/>
              </w:rPr>
              <w:t># 1. Define configuration variables</w:t>
              <w:br/>
              <w:t>PROJECT_ID="sapa-yanfaskes-prod"</w:t>
              <w:br/>
              <w:t>POOL_NAME="github-actions-pool"</w:t>
              <w:br/>
              <w:t>PROVIDER_NAME="github-actions-provider"</w:t>
              <w:br/>
              <w:t>SERVICE_ACCOUNT_NAME="sa-sapa-yanfaskes-api"</w:t>
              <w:br/>
              <w:t>GITHUB_REPO="andre1092/sapa-yanfaskes"</w:t>
              <w:br/>
              <w:br/>
              <w:t># 2. Create the Workload Identity Pool</w:t>
              <w:br/>
              <w:t>gcloud iam workload-identity-pools create $POOL_NAME \</w:t>
              <w:br/>
              <w:t xml:space="preserve">    --project=$PROJECT_ID \</w:t>
              <w:br/>
              <w:t xml:space="preserve">    --location="global" \</w:t>
              <w:br/>
              <w:t xml:space="preserve">    --display-name="GitHub Actions Pool"</w:t>
              <w:br/>
              <w:br/>
              <w:t># 3. Create the OIDC Workload Identity Provider for GitHub</w:t>
              <w:br/>
              <w:t>gcloud iam workload-identity-pools providers create-oidc $PROVIDER_NAME \</w:t>
              <w:br/>
              <w:t xml:space="preserve">    --project=$PROJECT_ID \</w:t>
              <w:br/>
              <w:t xml:space="preserve">    --location="global" \</w:t>
              <w:br/>
              <w:t xml:space="preserve">    --workload-identity-pool=$POOL_NAME \</w:t>
              <w:br/>
              <w:t xml:space="preserve">    --display-name="GitHub Actions OIDC Provider" \</w:t>
              <w:br/>
              <w:t xml:space="preserve">    --issuer-uri="https://token.actions.githubusercontent.com" \</w:t>
              <w:br/>
              <w:t xml:space="preserve">    --attribute-mapping="google.subject=assertion.sub,attribute.actor=assertion.actor,attribute.repository=assertion.repository" \</w:t>
              <w:br/>
              <w:t xml:space="preserve">    --attribute-condition="assertion.repository == '$GITHUB_REPO'"</w:t>
              <w:br/>
              <w:br/>
              <w:t># 4. Bind the Service Account to the Workload Identity Pool with strict Repository Claims</w:t>
              <w:br/>
              <w:t>PROJECT_NUMBER=$(gcloud projects describe $PROJECT_ID --format='value(projectNumber)')</w:t>
              <w:br/>
              <w:t>gcloud iam service-accounts add-iam-policy-binding \</w:t>
              <w:br/>
              <w:t xml:space="preserve">    ${SERVICE_ACCOUNT_NAME}@${PROJECT_ID}.iam.gserviceaccount.com \</w:t>
              <w:br/>
              <w:t xml:space="preserve">    --role="roles/iam.workloadIdentityUser" \</w:t>
              <w:br/>
              <w:t xml:space="preserve">    --member="principalSet://iam.googleapis.com/projects/${PROJECT_NUMBER}/locations/global/workloadIdentityPools/${POOL_NAME}/attribute.repository/${GITHUB_REPO}"</w:t>
            </w:r>
          </w:p>
        </w:tc>
      </w:tr>
    </w:tbl>
    <w:p/>
    <w:p>
      <w:pPr>
        <w:pStyle w:val="Heading1"/>
      </w:pPr>
      <w:r>
        <w:rPr>
          <w:rFonts w:ascii="Arial" w:hAnsi="Arial"/>
          <w:b/>
          <w:color w:val="0F172A"/>
        </w:rPr>
        <w:t>3. Production GitHub Actions Keyless Deployment Pipeline</w:t>
      </w:r>
    </w:p>
    <w:p>
      <w:pPr>
        <w:spacing w:line="276" w:lineRule="auto"/>
      </w:pPr>
      <w:r>
        <w:t xml:space="preserve">Integrate the keyless authentication workflow into '.github/workflows/deploy.yml'. Notice that </w:t>
      </w:r>
      <w:r>
        <w:rPr>
          <w:b/>
        </w:rPr>
        <w:t>permissions: id-token: write</w:t>
      </w:r>
      <w:r>
        <w:t xml:space="preserve"> is explicitly granted so GitHub's OIDC engine can mint the ephemeral token required for GCP token exchange.</w:t>
      </w:r>
    </w:p>
    <w:tbl>
      <w:tblPr>
        <w:tblW w:type="auto" w:w="0"/>
        <w:jc w:val="center"/>
        <w:tblLook w:firstColumn="1" w:firstRow="1" w:lastColumn="0" w:lastRow="0" w:noHBand="0" w:noVBand="1" w:val="04A0"/>
      </w:tblPr>
      <w:tblGrid>
        <w:gridCol w:w="9648"/>
      </w:tblGrid>
      <w:tr>
        <w:tc>
          <w:tcPr>
            <w:tcW w:type="dxa" w:w="9648"/>
            <w:shd w:val="clear" w:color="auto" w:fill="F1F5F9"/>
            <w:tcMar>
              <w:top w:w="100" w:type="dxa"/>
              <w:bottom w:w="100" w:type="dxa"/>
              <w:left w:w="150" w:type="dxa"/>
              <w:right w:w="150" w:type="dxa"/>
            </w:tcMar>
          </w:tcPr>
          <w:p>
            <w:r>
              <w:rPr>
                <w:rFonts w:ascii="Courier New" w:hAnsi="Courier New"/>
                <w:color w:val="0F172A"/>
                <w:sz w:val="17"/>
              </w:rPr>
              <w:t>name: Enterprise Keyless Continuous Deployment</w:t>
              <w:br/>
              <w:br/>
              <w:t>on:</w:t>
              <w:br/>
              <w:t xml:space="preserve">  push:</w:t>
              <w:br/>
              <w:t xml:space="preserve">    branches: [ main ]</w:t>
              <w:br/>
              <w:br/>
              <w:t>jobs:</w:t>
              <w:br/>
              <w:t xml:space="preserve">  deploy-service:</w:t>
              <w:br/>
              <w:t xml:space="preserve">    runs-on: ubuntu-latest</w:t>
              <w:br/>
              <w:t xml:space="preserve">    permissions:</w:t>
              <w:br/>
              <w:t xml:space="preserve">      contents: read</w:t>
              <w:br/>
              <w:t xml:space="preserve">      id-token: write # Required for Workload Identity Federation OIDC token</w:t>
              <w:br/>
              <w:br/>
              <w:t xml:space="preserve">    steps:</w:t>
              <w:br/>
              <w:t xml:space="preserve">      - name: Checkout Source Code</w:t>
              <w:br/>
              <w:t xml:space="preserve">        uses: actions/checkout@v4</w:t>
              <w:br/>
              <w:br/>
              <w:t xml:space="preserve">      - name: Authenticate to Google Cloud via Keyless WIF</w:t>
              <w:br/>
              <w:t xml:space="preserve">        uses: google-github-actions/auth@v2</w:t>
              <w:br/>
              <w:t xml:space="preserve">        with:</w:t>
              <w:br/>
              <w:t xml:space="preserve">          workload_identity_provider: 'projects/PROJECT_NUMBER/locations/global/workloadIdentityPools/github-actions-pool/providers/github-actions-provider'</w:t>
              <w:br/>
              <w:t xml:space="preserve">          service_account: 'sa-sapa-yanfaskes-api@sapa-yanfaskes-prod.iam.gserviceaccount.com'</w:t>
              <w:br/>
              <w:t xml:space="preserve">          token_format: 'access_token'</w:t>
              <w:br/>
              <w:br/>
              <w:t xml:space="preserve">      - name: Set up Cloud SDK</w:t>
              <w:br/>
              <w:t xml:space="preserve">        uses: google-github-actions/setup-gcloud@v2</w:t>
              <w:br/>
              <w:br/>
              <w:t xml:space="preserve">      - name: Deploy FastAPI Backend to Cloud Run</w:t>
              <w:br/>
              <w:t xml:space="preserve">        run: |</w:t>
              <w:br/>
              <w:t xml:space="preserve">          gcloud run deploy api-sapa-yanfaskes \</w:t>
              <w:br/>
              <w:t xml:space="preserve">            --image gcr.io/sapa-yanfaskes-prod/api:latest \</w:t>
              <w:br/>
              <w:t xml:space="preserve">            --region asia-southeast2 \</w:t>
              <w:br/>
              <w:t xml:space="preserve">            --platform managed</w:t>
            </w:r>
          </w:p>
        </w:tc>
      </w:tr>
    </w:tbl>
    <w:p/>
    <w:p>
      <w:pPr>
        <w:pStyle w:val="Heading1"/>
      </w:pPr>
      <w:r>
        <w:rPr>
          <w:rFonts w:ascii="Arial" w:hAnsi="Arial"/>
          <w:b/>
          <w:color w:val="0F172A"/>
        </w:rPr>
        <w:t>4. Dynamic Runtime Secret Injection (Google Secret Manager &amp; Auth0)</w:t>
      </w:r>
    </w:p>
    <w:p>
      <w:pPr>
        <w:spacing w:line="276" w:lineRule="auto"/>
      </w:pPr>
      <w:r>
        <w:t>Instead of reading raw secrets from disk (.env files), refactor your backend application ('api/db.py' and Auth0 token validation service) to pull dynamic secrets at startup from Google Secret Manager with in-memory caching and automatic RSA public key JWKS resolution.</w:t>
      </w:r>
    </w:p>
    <w:tbl>
      <w:tblPr>
        <w:tblW w:type="auto" w:w="0"/>
        <w:jc w:val="center"/>
        <w:tblLook w:firstColumn="1" w:firstRow="1" w:lastColumn="0" w:lastRow="0" w:noHBand="0" w:noVBand="1" w:val="04A0"/>
      </w:tblPr>
      <w:tblGrid>
        <w:gridCol w:w="9648"/>
      </w:tblGrid>
      <w:tr>
        <w:tc>
          <w:tcPr>
            <w:tcW w:type="dxa" w:w="9648"/>
            <w:shd w:val="clear" w:color="auto" w:fill="F1F5F9"/>
            <w:tcMar>
              <w:top w:w="100" w:type="dxa"/>
              <w:bottom w:w="100" w:type="dxa"/>
              <w:left w:w="150" w:type="dxa"/>
              <w:right w:w="150" w:type="dxa"/>
            </w:tcMar>
          </w:tcPr>
          <w:p>
            <w:r>
              <w:rPr>
                <w:rFonts w:ascii="Courier New" w:hAnsi="Courier New"/>
                <w:color w:val="0F172A"/>
                <w:sz w:val="17"/>
              </w:rPr>
              <w:t># api/security_vault.py</w:t>
              <w:br/>
              <w:t>import os</w:t>
              <w:br/>
              <w:t>from functools import lru_cache</w:t>
              <w:br/>
              <w:t>from google.cloud import secretmanager</w:t>
              <w:br/>
              <w:t>import jwt</w:t>
              <w:br/>
              <w:t>from jwt import PyJWKClient</w:t>
              <w:br/>
              <w:br/>
              <w:t>class EnterpriseVault:</w:t>
              <w:br/>
              <w:t xml:space="preserve">    def __init__(self, project_id: str):</w:t>
              <w:br/>
              <w:t xml:space="preserve">        self.project_id = project_id</w:t>
              <w:br/>
              <w:t xml:space="preserve">        self.client = secretmanager.SecretManagerServiceClient()</w:t>
              <w:br/>
              <w:br/>
              <w:t xml:space="preserve">    @lru_cache(maxsize=32)</w:t>
              <w:br/>
              <w:t xml:space="preserve">    def get_secret(self, secret_id: str, version_id: str = "latest") -&gt; str:</w:t>
              <w:br/>
              <w:t xml:space="preserve">        name = f"projects/{self.project_id}/secrets/{secret_id}/versions/{version_id}"</w:t>
              <w:br/>
              <w:t xml:space="preserve">        response = self.client.access_secret_version(request={"name": name})</w:t>
              <w:br/>
              <w:t xml:space="preserve">        return response.payload.data.decode("UTF-8")</w:t>
              <w:br/>
              <w:br/>
              <w:t># Auth0 RS256 Token Verification without hardcoded secrets</w:t>
              <w:br/>
              <w:t>AUTH0_DOMAIN = os.getenv("AUTH0_DOMAIN", "sapa-yanfaskes.auth0.com")</w:t>
              <w:br/>
              <w:t>AUTH0_API_AUDIENCE = os.getenv("AUTH0_AUDIENCE", "https://api.sapa-yanfaskes.health.go.id")</w:t>
              <w:br/>
              <w:t>jwks_client = PyJWKClient(f"https://{AUTH0_DOMAIN}/.well-known/jwks.json")</w:t>
              <w:br/>
              <w:br/>
              <w:t>def verify_auth0_token(token: str) -&gt; dict:</w:t>
              <w:br/>
              <w:t xml:space="preserve">    signing_key = jwks_client.get_signing_key_from_jwt(token)</w:t>
              <w:br/>
              <w:t xml:space="preserve">    payload = jwt.decode(</w:t>
              <w:br/>
              <w:t xml:space="preserve">        token,</w:t>
              <w:br/>
              <w:t xml:space="preserve">        signing_key.key,</w:t>
              <w:br/>
              <w:t xml:space="preserve">        algorithms=["RS256"],</w:t>
              <w:br/>
              <w:t xml:space="preserve">        audience=AUTH0_API_AUDIENCE,</w:t>
              <w:br/>
              <w:t xml:space="preserve">        issuer=f"https://{AUTH0_DOMAIN}/"</w:t>
              <w:br/>
              <w:t xml:space="preserve">    )</w:t>
              <w:br/>
              <w:t xml:space="preserve">    return payload</w:t>
            </w:r>
          </w:p>
        </w:tc>
      </w:tr>
    </w:tbl>
    <w:p/>
    <w:p>
      <w:pPr>
        <w:pStyle w:val="Heading1"/>
      </w:pPr>
      <w:r>
        <w:rPr>
          <w:rFonts w:ascii="Arial" w:hAnsi="Arial"/>
          <w:b/>
          <w:color w:val="0F172A"/>
        </w:rPr>
        <w:t>5. Automated SIEM Alerting, Threat Intelligence &amp; Dark Web Monitoring</w:t>
      </w:r>
    </w:p>
    <w:p>
      <w:pPr>
        <w:spacing w:line="276" w:lineRule="auto"/>
      </w:pPr>
      <w:r>
        <w:t>To achieve continuous audit compliance, stream GitHub Audit Logs directly to your enterprise SIEM (Splunk, Chronicle, Datadog) and establish automated webhook alert routing for immediate SOC containment upon any secret scan violation.</w:t>
      </w:r>
    </w:p>
    <w:tbl>
      <w:tblPr>
        <w:tblW w:type="auto" w:w="0"/>
        <w:jc w:val="center"/>
        <w:tblLayout w:type="fixed"/>
        <w:tblLook w:firstColumn="1" w:firstRow="1" w:lastColumn="0" w:lastRow="0" w:noHBand="0" w:noVBand="1" w:val="04A0"/>
      </w:tblPr>
      <w:tblGrid>
        <w:gridCol w:w="4824"/>
        <w:gridCol w:w="4824"/>
      </w:tblGrid>
      <w:tr>
        <w:tc>
          <w:tcPr>
            <w:tcW w:type="dxa" w:w="3312"/>
            <w:shd w:val="clear" w:color="auto" w:fill="F1F5F9"/>
            <w:tcMar>
              <w:top w:w="60" w:type="dxa"/>
              <w:bottom w:w="60" w:type="dxa"/>
              <w:left w:w="100" w:type="dxa"/>
              <w:right w:w="100" w:type="dxa"/>
            </w:tcMar>
          </w:tcPr>
          <w:p>
            <w:r>
              <w:rPr>
                <w:rFonts w:ascii="Arial" w:hAnsi="Arial"/>
                <w:b/>
                <w:color w:val="0F172A"/>
                <w:sz w:val="18"/>
              </w:rPr>
              <w:t>Event Source: GitHub Audit Log Stream</w:t>
            </w:r>
          </w:p>
        </w:tc>
        <w:tc>
          <w:tcPr>
            <w:tcW w:type="dxa" w:w="6336"/>
            <w:shd w:val="clear" w:color="auto" w:fill="FFFFFF"/>
            <w:tcMar>
              <w:top w:w="60" w:type="dxa"/>
              <w:bottom w:w="60" w:type="dxa"/>
              <w:left w:w="100" w:type="dxa"/>
              <w:right w:w="100" w:type="dxa"/>
            </w:tcMar>
          </w:tcPr>
          <w:p>
            <w:r>
              <w:rPr>
                <w:rFonts w:ascii="Arial" w:hAnsi="Arial"/>
                <w:color w:val="334155"/>
                <w:sz w:val="18"/>
              </w:rPr>
              <w:t>Configures high-throughput event streaming for 'secret_scanning_alert' and 'push_protection' events via Azure Event Hub / GCP PubSub.</w:t>
            </w:r>
          </w:p>
        </w:tc>
      </w:tr>
      <w:tr>
        <w:tc>
          <w:tcPr>
            <w:tcW w:type="dxa" w:w="3312"/>
            <w:shd w:val="clear" w:color="auto" w:fill="F1F5F9"/>
            <w:tcMar>
              <w:top w:w="60" w:type="dxa"/>
              <w:bottom w:w="60" w:type="dxa"/>
              <w:left w:w="100" w:type="dxa"/>
              <w:right w:w="100" w:type="dxa"/>
            </w:tcMar>
          </w:tcPr>
          <w:p>
            <w:r>
              <w:rPr>
                <w:rFonts w:ascii="Arial" w:hAnsi="Arial"/>
                <w:b/>
                <w:color w:val="0F172A"/>
                <w:sz w:val="18"/>
              </w:rPr>
              <w:t>SIEM Detection Rule: SEC-DET-084</w:t>
            </w:r>
          </w:p>
        </w:tc>
        <w:tc>
          <w:tcPr>
            <w:tcW w:type="dxa" w:w="6336"/>
            <w:shd w:val="clear" w:color="auto" w:fill="FFFFFF"/>
            <w:tcMar>
              <w:top w:w="60" w:type="dxa"/>
              <w:bottom w:w="60" w:type="dxa"/>
              <w:left w:w="100" w:type="dxa"/>
              <w:right w:w="100" w:type="dxa"/>
            </w:tcMar>
          </w:tcPr>
          <w:p>
            <w:r>
              <w:rPr>
                <w:rFonts w:ascii="Arial" w:hAnsi="Arial"/>
                <w:color w:val="334155"/>
                <w:sz w:val="18"/>
              </w:rPr>
              <w:t>Triggers high-severity incident ticket when GH013 or pre-receive blocks occur on production branches.</w:t>
            </w:r>
          </w:p>
        </w:tc>
      </w:tr>
      <w:tr>
        <w:tc>
          <w:tcPr>
            <w:tcW w:type="dxa" w:w="3312"/>
            <w:shd w:val="clear" w:color="auto" w:fill="F1F5F9"/>
            <w:tcMar>
              <w:top w:w="60" w:type="dxa"/>
              <w:bottom w:w="60" w:type="dxa"/>
              <w:left w:w="100" w:type="dxa"/>
              <w:right w:w="100" w:type="dxa"/>
            </w:tcMar>
          </w:tcPr>
          <w:p>
            <w:r>
              <w:rPr>
                <w:rFonts w:ascii="Arial" w:hAnsi="Arial"/>
                <w:b/>
                <w:color w:val="0F172A"/>
                <w:sz w:val="18"/>
              </w:rPr>
              <w:t>Dark Web &amp; Public Leak Monitoring</w:t>
            </w:r>
          </w:p>
        </w:tc>
        <w:tc>
          <w:tcPr>
            <w:tcW w:type="dxa" w:w="6336"/>
            <w:shd w:val="clear" w:color="auto" w:fill="FFFFFF"/>
            <w:tcMar>
              <w:top w:w="60" w:type="dxa"/>
              <w:bottom w:w="60" w:type="dxa"/>
              <w:left w:w="100" w:type="dxa"/>
              <w:right w:w="100" w:type="dxa"/>
            </w:tcMar>
          </w:tcPr>
          <w:p>
            <w:r>
              <w:rPr>
                <w:rFonts w:ascii="Arial" w:hAnsi="Arial"/>
                <w:color w:val="334155"/>
                <w:sz w:val="18"/>
              </w:rPr>
              <w:t>Monitors external public code repositories, dark web paste sites, and threat feeds using continuous OSINT scanners.</w:t>
            </w:r>
          </w:p>
        </w:tc>
      </w:tr>
      <w:tr>
        <w:tc>
          <w:tcPr>
            <w:tcW w:type="dxa" w:w="3312"/>
            <w:shd w:val="clear" w:color="auto" w:fill="F1F5F9"/>
            <w:tcMar>
              <w:top w:w="60" w:type="dxa"/>
              <w:bottom w:w="60" w:type="dxa"/>
              <w:left w:w="100" w:type="dxa"/>
              <w:right w:w="100" w:type="dxa"/>
            </w:tcMar>
          </w:tcPr>
          <w:p>
            <w:r>
              <w:rPr>
                <w:rFonts w:ascii="Arial" w:hAnsi="Arial"/>
                <w:b/>
                <w:color w:val="0F172A"/>
                <w:sz w:val="18"/>
              </w:rPr>
              <w:t>Automated Revocation Playbook</w:t>
            </w:r>
          </w:p>
        </w:tc>
        <w:tc>
          <w:tcPr>
            <w:tcW w:type="dxa" w:w="6336"/>
            <w:shd w:val="clear" w:color="auto" w:fill="FFFFFF"/>
            <w:tcMar>
              <w:top w:w="60" w:type="dxa"/>
              <w:bottom w:w="60" w:type="dxa"/>
              <w:left w:w="100" w:type="dxa"/>
              <w:right w:w="100" w:type="dxa"/>
            </w:tcMar>
          </w:tcPr>
          <w:p>
            <w:r>
              <w:rPr>
                <w:rFonts w:ascii="Arial" w:hAnsi="Arial"/>
                <w:color w:val="334155"/>
                <w:sz w:val="18"/>
              </w:rPr>
              <w:t>Orchestrates an automated Cloud Function to instantly disable the compromised GCP Service Account key ID within seconds.</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