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E289D0D" w:rsidP="2635445E" w:rsidRDefault="2E289D0D" w14:paraId="258D88EB" w14:textId="7677A839">
      <w:pPr>
        <w:pStyle w:val="NoSpacing"/>
        <w:rPr>
          <w:b w:val="1"/>
          <w:bCs w:val="1"/>
          <w:noProof w:val="0"/>
          <w:lang w:val="pt-BR"/>
        </w:rPr>
      </w:pPr>
      <w:r w:rsidRPr="2635445E" w:rsidR="2E289D0D">
        <w:rPr>
          <w:b w:val="1"/>
          <w:bCs w:val="1"/>
          <w:noProof w:val="0"/>
          <w:lang w:val="pt-BR"/>
        </w:rPr>
        <w:t>Acessibilidade a deficientes visuais no brasil</w:t>
      </w:r>
    </w:p>
    <w:p w:rsidR="2E289D0D" w:rsidP="2635445E" w:rsidRDefault="2E289D0D" w14:paraId="00CF473B" w14:textId="413D6C22">
      <w:pPr>
        <w:pStyle w:val="NoSpacing"/>
        <w:rPr>
          <w:rFonts w:ascii="Arial" w:hAnsi="Arial" w:eastAsia="Arial" w:cs="Arial" w:asciiTheme="minorAscii" w:hAnsiTheme="minorAscii" w:eastAsiaTheme="minorAscii" w:cstheme="minorAscii"/>
          <w:color w:val="FF0000"/>
        </w:rPr>
      </w:pPr>
      <w:r>
        <w:br/>
      </w:r>
      <w:hyperlink r:id="Rfc196c5efb3e40f8">
        <w:r w:rsidRPr="2635445E" w:rsidR="2E289D0D">
          <w:rPr>
            <w:rStyle w:val="Hyperlink"/>
            <w:noProof w:val="0"/>
            <w:lang w:val="pt-BR"/>
          </w:rPr>
          <w:t>https://remunom.ojsbr.com/multidisciplinar/article/view/4998?utm</w:t>
        </w:r>
      </w:hyperlink>
      <w:r>
        <w:br/>
      </w:r>
      <w:hyperlink r:id="R27b9f4edce464e42">
        <w:r w:rsidRPr="2635445E" w:rsidR="2E289D0D">
          <w:rPr>
            <w:rStyle w:val="Hyperlink"/>
            <w:noProof w:val="0"/>
            <w:lang w:val="pt-BR"/>
          </w:rPr>
          <w:t>https://rsdjournal.org/index.php/rsd/article/view/31463</w:t>
        </w:r>
      </w:hyperlink>
      <w:r>
        <w:br/>
      </w:r>
      <w:hyperlink r:id="R8076b5afd06044b9">
        <w:r w:rsidRPr="2635445E" w:rsidR="2E289D0D">
          <w:rPr>
            <w:rStyle w:val="Hyperlink"/>
            <w:noProof w:val="0"/>
            <w:lang w:val="pt-BR"/>
          </w:rPr>
          <w:t>https://periodicos.sbu.unicamp.br/ojs/index.php/rdbci/article/view/8661391</w:t>
        </w:r>
      </w:hyperlink>
    </w:p>
    <w:p w:rsidR="2635445E" w:rsidP="2635445E" w:rsidRDefault="2635445E" w14:paraId="307A7505" w14:textId="2F01C135">
      <w:pPr>
        <w:pStyle w:val="NoSpacing"/>
        <w:rPr>
          <w:noProof w:val="0"/>
          <w:lang w:val="pt-BR"/>
        </w:rPr>
      </w:pPr>
    </w:p>
    <w:p w:rsidR="2635445E" w:rsidP="2635445E" w:rsidRDefault="2635445E" w14:paraId="54FF244D" w14:textId="213FFF8B">
      <w:pPr>
        <w:pStyle w:val="NoSpacing"/>
        <w:rPr>
          <w:b w:val="1"/>
          <w:bCs w:val="1"/>
          <w:noProof w:val="0"/>
          <w:lang w:val="pt-BR"/>
        </w:rPr>
      </w:pPr>
    </w:p>
    <w:p w:rsidR="2E289D0D" w:rsidP="2635445E" w:rsidRDefault="2E289D0D" w14:paraId="025375E6" w14:textId="4507300F">
      <w:pPr>
        <w:pStyle w:val="NoSpacing"/>
        <w:rPr>
          <w:b w:val="1"/>
          <w:bCs w:val="1"/>
          <w:noProof w:val="0"/>
          <w:lang w:val="pt-BR"/>
        </w:rPr>
      </w:pPr>
      <w:r w:rsidRPr="2635445E" w:rsidR="2E289D0D">
        <w:rPr>
          <w:b w:val="1"/>
          <w:bCs w:val="1"/>
          <w:noProof w:val="0"/>
          <w:lang w:val="pt-BR"/>
        </w:rPr>
        <w:t xml:space="preserve">Ponto de </w:t>
      </w:r>
      <w:r w:rsidRPr="2635445E" w:rsidR="2E289D0D">
        <w:rPr>
          <w:b w:val="1"/>
          <w:bCs w:val="1"/>
          <w:noProof w:val="0"/>
          <w:lang w:val="pt-BR"/>
        </w:rPr>
        <w:t>doaçao</w:t>
      </w:r>
      <w:r w:rsidRPr="2635445E" w:rsidR="2E289D0D">
        <w:rPr>
          <w:b w:val="1"/>
          <w:bCs w:val="1"/>
          <w:noProof w:val="0"/>
          <w:lang w:val="pt-BR"/>
        </w:rPr>
        <w:t xml:space="preserve"> de alimento</w:t>
      </w:r>
    </w:p>
    <w:p w:rsidR="2E289D0D" w:rsidP="2635445E" w:rsidRDefault="2E289D0D" w14:paraId="63D6876F" w14:textId="34FC435F">
      <w:pPr>
        <w:pStyle w:val="NoSpacing"/>
        <w:rPr>
          <w:rFonts w:ascii="Arial" w:hAnsi="Arial" w:eastAsia="Arial" w:cs="Arial" w:asciiTheme="minorAscii" w:hAnsiTheme="minorAscii" w:eastAsiaTheme="minorAscii" w:cstheme="minorAscii"/>
          <w:color w:val="FF0000"/>
        </w:rPr>
      </w:pPr>
      <w:r>
        <w:br/>
      </w:r>
      <w:hyperlink r:id="R55b9c4930c09499e">
        <w:r w:rsidRPr="2635445E" w:rsidR="2E289D0D">
          <w:rPr>
            <w:rStyle w:val="Hyperlink"/>
            <w:noProof w:val="0"/>
            <w:lang w:val="pt-BR"/>
          </w:rPr>
          <w:t>https://food.ec.europa.eu/system/files/2019-06/fw_eu-actions_food-donation_ms-practices-food-redis.pdf</w:t>
        </w:r>
      </w:hyperlink>
      <w:r>
        <w:br/>
      </w:r>
      <w:hyperlink r:id="R4c31f1b0b9f8431d">
        <w:r w:rsidRPr="2635445E" w:rsidR="2E289D0D">
          <w:rPr>
            <w:rStyle w:val="Hyperlink"/>
            <w:noProof w:val="0"/>
            <w:lang w:val="pt-BR"/>
          </w:rPr>
          <w:t>http://openknowledge.fao.org/server/api/core/bitstreams/e01f8053-4035-4318-9f74-6061aa25b4aa/content/agrifood-solutions-to-climate-change-2023/paradox-of-hunger-and-food-loss-waste.html</w:t>
        </w:r>
      </w:hyperlink>
    </w:p>
    <w:p w:rsidR="2635445E" w:rsidP="2635445E" w:rsidRDefault="2635445E" w14:paraId="7D29ABBF" w14:textId="0ED79BAC">
      <w:pPr>
        <w:pStyle w:val="NoSpacing"/>
      </w:pPr>
    </w:p>
    <w:p w:rsidR="2635445E" w:rsidP="2635445E" w:rsidRDefault="2635445E" w14:paraId="0134E572" w14:textId="5B5283BB">
      <w:pPr>
        <w:pStyle w:val="NoSpacing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4B0FC9"/>
    <w:rsid w:val="0A1414F0"/>
    <w:rsid w:val="2635445E"/>
    <w:rsid w:val="26E6F2EF"/>
    <w:rsid w:val="2E289D0D"/>
    <w:rsid w:val="3666EB0C"/>
    <w:rsid w:val="3F4B0FC9"/>
    <w:rsid w:val="7F51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88246"/>
  <w15:chartTrackingRefBased/>
  <w15:docId w15:val="{30BA99B3-619E-4AE9-81B8-859FF1673D6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635445E"/>
    <w:rPr>
      <w:color w:val="467886"/>
      <w:u w:val="single"/>
    </w:rPr>
  </w:style>
  <w:style w:type="paragraph" w:styleId="NoSpacing">
    <w:uiPriority w:val="1"/>
    <w:name w:val="No Spacing"/>
    <w:qFormat/>
    <w:rsid w:val="2635445E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emunom.ojsbr.com/multidisciplinar/article/view/4998?utm" TargetMode="External" Id="Rfc196c5efb3e40f8" /><Relationship Type="http://schemas.openxmlformats.org/officeDocument/2006/relationships/hyperlink" Target="https://rsdjournal.org/index.php/rsd/article/view/31463" TargetMode="External" Id="R27b9f4edce464e42" /><Relationship Type="http://schemas.openxmlformats.org/officeDocument/2006/relationships/hyperlink" Target="https://periodicos.sbu.unicamp.br/ojs/index.php/rdbci/article/view/8661391" TargetMode="External" Id="R8076b5afd06044b9" /><Relationship Type="http://schemas.openxmlformats.org/officeDocument/2006/relationships/hyperlink" Target="https://food.ec.europa.eu/system/files/2019-06/fw_eu-actions_food-donation_ms-practices-food-redis.pdf" TargetMode="External" Id="R55b9c4930c09499e" /><Relationship Type="http://schemas.openxmlformats.org/officeDocument/2006/relationships/hyperlink" Target="http://openknowledge.fao.org/server/api/core/bitstreams/e01f8053-4035-4318-9f74-6061aa25b4aa/content/agrifood-solutions-to-climate-change-2023/paradox-of-hunger-and-food-loss-waste.html" TargetMode="External" Id="R4c31f1b0b9f8431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2026-03-27T12:53:52.9723805Z</dcterms:created>
  <dcterms:modified xsi:type="dcterms:W3CDTF">2026-03-27T13:05:15.4086174Z</dcterms:modified>
  <dc:creator>André Garrido</dc:creator>
  <lastModifiedBy>André Garrido</lastModifiedBy>
</coreProperties>
</file>