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600446" w14:textId="77777777" w:rsidR="001E6D4D" w:rsidRDefault="00000000">
      <w:r>
        <w:rPr>
          <w:sz w:val="20"/>
        </w:rPr>
        <w:t>Andrew Galvez</w:t>
      </w:r>
    </w:p>
    <w:p w14:paraId="4190BDA2" w14:textId="77777777" w:rsidR="001E6D4D" w:rsidRDefault="00000000">
      <w:r>
        <w:rPr>
          <w:sz w:val="20"/>
        </w:rPr>
        <w:t>Bothell, WA 98012</w:t>
      </w:r>
    </w:p>
    <w:p w14:paraId="68C7BF46" w14:textId="77777777" w:rsidR="001E6D4D" w:rsidRDefault="00000000">
      <w:r>
        <w:rPr>
          <w:sz w:val="20"/>
        </w:rPr>
        <w:t>206-476-7057</w:t>
      </w:r>
    </w:p>
    <w:p w14:paraId="5201CEF3" w14:textId="77777777" w:rsidR="001E6D4D" w:rsidRDefault="00000000">
      <w:r>
        <w:rPr>
          <w:sz w:val="20"/>
        </w:rPr>
        <w:t>galvezandrew06@gmail.com</w:t>
      </w:r>
    </w:p>
    <w:p w14:paraId="2A6D170C" w14:textId="77777777" w:rsidR="001E6D4D" w:rsidRDefault="001E6D4D">
      <w:pPr>
        <w:spacing w:after="80"/>
      </w:pPr>
    </w:p>
    <w:p w14:paraId="3619E7E0" w14:textId="6A8CA515" w:rsidR="001E6D4D" w:rsidRDefault="00A06BFF">
      <w:pPr>
        <w:spacing w:after="200"/>
      </w:pPr>
      <w:r>
        <w:rPr>
          <w:sz w:val="20"/>
        </w:rPr>
        <w:t>May 29</w:t>
      </w:r>
      <w:r w:rsidR="00000000">
        <w:rPr>
          <w:sz w:val="20"/>
        </w:rPr>
        <w:t>, 2026</w:t>
      </w:r>
    </w:p>
    <w:p w14:paraId="1AE13EEA" w14:textId="77777777" w:rsidR="001E6D4D" w:rsidRDefault="00000000">
      <w:r>
        <w:rPr>
          <w:sz w:val="20"/>
        </w:rPr>
        <w:t>Search Committee for Software Engineering Apprentice, Full-Stack</w:t>
      </w:r>
    </w:p>
    <w:p w14:paraId="4E3755DF" w14:textId="77777777" w:rsidR="001E6D4D" w:rsidRDefault="00000000">
      <w:r>
        <w:rPr>
          <w:sz w:val="20"/>
        </w:rPr>
        <w:t>Affirm, Inc.</w:t>
      </w:r>
    </w:p>
    <w:p w14:paraId="3BE63510" w14:textId="77777777" w:rsidR="001E6D4D" w:rsidRDefault="00000000">
      <w:r>
        <w:rPr>
          <w:sz w:val="20"/>
        </w:rPr>
        <w:t>650 California Street, 12th Floor</w:t>
      </w:r>
    </w:p>
    <w:p w14:paraId="098E739E" w14:textId="77777777" w:rsidR="001E6D4D" w:rsidRDefault="00000000">
      <w:r>
        <w:rPr>
          <w:sz w:val="20"/>
        </w:rPr>
        <w:t>San Francisco, CA 94108</w:t>
      </w:r>
    </w:p>
    <w:p w14:paraId="38F62ED8" w14:textId="77777777" w:rsidR="001E6D4D" w:rsidRDefault="001E6D4D">
      <w:pPr>
        <w:spacing w:after="80"/>
      </w:pPr>
    </w:p>
    <w:p w14:paraId="576FE205" w14:textId="77777777" w:rsidR="001E6D4D" w:rsidRDefault="00000000">
      <w:pPr>
        <w:spacing w:after="160"/>
      </w:pPr>
      <w:r>
        <w:rPr>
          <w:sz w:val="20"/>
        </w:rPr>
        <w:t>Dear Search Committee for Software Engineering Apprentice, Full-Stack:</w:t>
      </w:r>
    </w:p>
    <w:p w14:paraId="7A3EB394" w14:textId="77777777" w:rsidR="001E6D4D" w:rsidRDefault="00000000">
      <w:pPr>
        <w:spacing w:after="80"/>
      </w:pPr>
      <w:r>
        <w:rPr>
          <w:sz w:val="20"/>
        </w:rPr>
        <w:t xml:space="preserve">I am applying for the </w:t>
      </w:r>
      <w:hyperlink r:id="rId8">
        <w:r>
          <w:rPr>
            <w:color w:val="0563C1"/>
            <w:u w:val="single"/>
          </w:rPr>
          <w:t>Software Engineering Apprentice, Full-Stack</w:t>
        </w:r>
      </w:hyperlink>
      <w:r>
        <w:rPr>
          <w:sz w:val="20"/>
        </w:rPr>
        <w:t xml:space="preserve"> role at Affirm.</w:t>
      </w:r>
    </w:p>
    <w:p w14:paraId="527C25D5" w14:textId="77777777" w:rsidR="001E6D4D" w:rsidRDefault="00000000">
      <w:pPr>
        <w:spacing w:after="120"/>
      </w:pPr>
      <w:r>
        <w:rPr>
          <w:sz w:val="20"/>
        </w:rPr>
        <w:t xml:space="preserve">I am applying to Affirm because the apprenticeship connects production engineering with </w:t>
      </w:r>
      <w:hyperlink r:id="rId9">
        <w:r>
          <w:rPr>
            <w:color w:val="0563C1"/>
            <w:u w:val="single"/>
          </w:rPr>
          <w:t>honest financial products</w:t>
        </w:r>
      </w:hyperlink>
      <w:r>
        <w:rPr>
          <w:sz w:val="20"/>
        </w:rPr>
        <w:t xml:space="preserve"> and team mentorship. The role asks apprentices to build infrastructure, ship code that a team depends on, communicate risks and tradeoffs, and protect systems from downtime. My software work is strongest when I can turn ambiguous technical behavior into a clearer, faster, and more reliable system. I am the best candidate for this Software Engineering Apprentice role.</w:t>
      </w:r>
    </w:p>
    <w:p w14:paraId="7FC439F6" w14:textId="77777777" w:rsidR="001E6D4D" w:rsidRDefault="00000000">
      <w:pPr>
        <w:spacing w:before="100" w:after="60"/>
      </w:pPr>
      <w:r>
        <w:rPr>
          <w:b/>
          <w:color w:val="1F4E79"/>
          <w:sz w:val="20"/>
        </w:rPr>
        <w:t>My project experience prepares me to contribute to production software.</w:t>
      </w:r>
    </w:p>
    <w:p w14:paraId="25F08D8D" w14:textId="77777777" w:rsidR="001E6D4D" w:rsidRDefault="00000000">
      <w:pPr>
        <w:spacing w:after="60"/>
      </w:pPr>
      <w:r>
        <w:rPr>
          <w:sz w:val="20"/>
        </w:rPr>
        <w:t>I am a strong candidate because I have already built software where speed, user feedback, and reliability mattered at the same time.</w:t>
      </w:r>
    </w:p>
    <w:p w14:paraId="18732561" w14:textId="77777777" w:rsidR="001E6D4D" w:rsidRDefault="00000000">
      <w:pPr>
        <w:spacing w:after="60"/>
        <w:ind w:left="360" w:hanging="216"/>
      </w:pPr>
      <w:r>
        <w:rPr>
          <w:sz w:val="19"/>
        </w:rPr>
        <w:t>• In my automated checkout platform, I built a Go backend and React/Wails frontend for task execution, monitoring, and user-facing status updates. That work gives me practice connecting backend execution to product visibility.</w:t>
      </w:r>
    </w:p>
    <w:p w14:paraId="146DB4D6" w14:textId="77777777" w:rsidR="001E6D4D" w:rsidRDefault="00000000">
      <w:pPr>
        <w:spacing w:after="60"/>
        <w:ind w:left="360" w:hanging="216"/>
      </w:pPr>
      <w:r>
        <w:rPr>
          <w:sz w:val="19"/>
        </w:rPr>
        <w:t>• I revised the product monitor, API status flow, UI, and task engine after tester feedback showed where the system was confusing or slow. That process matches Affirm’s expectation that apprentices contribute to team goals rather than isolated throwaway projects.</w:t>
      </w:r>
    </w:p>
    <w:p w14:paraId="4FBF2ADE" w14:textId="77777777" w:rsidR="001E6D4D" w:rsidRDefault="00000000">
      <w:pPr>
        <w:spacing w:after="60"/>
        <w:ind w:left="360" w:hanging="216"/>
      </w:pPr>
      <w:r>
        <w:rPr>
          <w:sz w:val="19"/>
        </w:rPr>
        <w:t>• As a SneakerNode co-founder, I worked directly with a provider’s CEO and developers while supporting a technical service used by online communities. That experience taught me to communicate technical limitations and user needs across business and engineering audiences.</w:t>
      </w:r>
    </w:p>
    <w:p w14:paraId="73DC582B" w14:textId="77777777" w:rsidR="001E6D4D" w:rsidRDefault="00000000">
      <w:pPr>
        <w:spacing w:before="100" w:after="60"/>
      </w:pPr>
      <w:r>
        <w:rPr>
          <w:b/>
          <w:color w:val="1F4E79"/>
          <w:sz w:val="20"/>
        </w:rPr>
        <w:t>My problem-solving habits help me balance speed, quality, and risk.</w:t>
      </w:r>
    </w:p>
    <w:p w14:paraId="672F5B6F" w14:textId="77777777" w:rsidR="001E6D4D" w:rsidRDefault="00000000">
      <w:pPr>
        <w:spacing w:after="60"/>
      </w:pPr>
      <w:r>
        <w:rPr>
          <w:sz w:val="20"/>
        </w:rPr>
        <w:t>I am a strong candidate because I do not treat fast software as useful unless it remains understandable, testable, and reliable.</w:t>
      </w:r>
    </w:p>
    <w:p w14:paraId="1ED3AE3B" w14:textId="77777777" w:rsidR="001E6D4D" w:rsidRDefault="00000000">
      <w:pPr>
        <w:spacing w:after="60"/>
        <w:ind w:left="360" w:hanging="216"/>
      </w:pPr>
      <w:r>
        <w:rPr>
          <w:sz w:val="19"/>
        </w:rPr>
        <w:t>• On the automated checkout platform, I replaced a browser-dependent workflow with an API-driven module that improved execution speed by more than 5x in local testing. That change required measuring performance and simplifying the execution path instead of only adding more code.</w:t>
      </w:r>
    </w:p>
    <w:p w14:paraId="39CFDF68" w14:textId="77777777" w:rsidR="001E6D4D" w:rsidRDefault="00000000">
      <w:pPr>
        <w:spacing w:after="60"/>
        <w:ind w:left="360" w:hanging="216"/>
      </w:pPr>
      <w:r>
        <w:rPr>
          <w:sz w:val="19"/>
        </w:rPr>
        <w:t>• In SneakerNode, I found a plan-usage enforcement issue by testing the service as a user and tracing the problem to delayed upstream usage data and a boundary-check mistake. I treated the issue as a system reliability problem, not only a customer complaint.</w:t>
      </w:r>
    </w:p>
    <w:p w14:paraId="76BA67AD" w14:textId="77777777" w:rsidR="001E6D4D" w:rsidRDefault="00000000">
      <w:pPr>
        <w:spacing w:after="60"/>
        <w:ind w:left="360" w:hanging="216"/>
      </w:pPr>
      <w:r>
        <w:rPr>
          <w:sz w:val="19"/>
        </w:rPr>
        <w:t>• In my security research, I study web application behavior, reverse engineering, and low-level protection systems in controlled environments. That habit helps me think carefully about risk, abuse cases, and downtime when building production software.</w:t>
      </w:r>
    </w:p>
    <w:p w14:paraId="68286250" w14:textId="77777777" w:rsidR="001E6D4D" w:rsidRDefault="00000000">
      <w:pPr>
        <w:spacing w:before="100" w:after="60"/>
      </w:pPr>
      <w:r>
        <w:rPr>
          <w:b/>
          <w:color w:val="1F4E79"/>
          <w:sz w:val="20"/>
        </w:rPr>
        <w:t>My values align with Affirm’s mission and engineering culture.</w:t>
      </w:r>
    </w:p>
    <w:p w14:paraId="70508AAD" w14:textId="77777777" w:rsidR="001E6D4D" w:rsidRDefault="00000000">
      <w:pPr>
        <w:spacing w:after="60"/>
      </w:pPr>
      <w:r>
        <w:rPr>
          <w:sz w:val="20"/>
        </w:rPr>
        <w:t xml:space="preserve">I am a strong candidate because my values show up in how I build and revise systems. </w:t>
      </w:r>
      <w:hyperlink r:id="rId10">
        <w:r>
          <w:rPr>
            <w:color w:val="0563C1"/>
            <w:u w:val="single"/>
          </w:rPr>
          <w:t>Affirm’s values</w:t>
        </w:r>
      </w:hyperlink>
      <w:r>
        <w:rPr>
          <w:sz w:val="20"/>
        </w:rPr>
        <w:t xml:space="preserve"> include People come first, No fine print, It’s on us, Simpler is better, and Push the envelope, and the apprenticeship emphasizes empathy, collaboration, ambiguity, and speed with quality.</w:t>
      </w:r>
    </w:p>
    <w:p w14:paraId="5CE4F31A" w14:textId="77777777" w:rsidR="001E6D4D" w:rsidRDefault="00000000">
      <w:pPr>
        <w:spacing w:after="60"/>
        <w:ind w:left="360" w:hanging="216"/>
      </w:pPr>
      <w:r>
        <w:rPr>
          <w:sz w:val="19"/>
        </w:rPr>
        <w:t>• My work aligns with People come first and No fine print because I use feedback to make systems clearer for users. In my automated checkout project, I revised status flow and monitoring so testers could better understand what the software was doing.</w:t>
      </w:r>
    </w:p>
    <w:p w14:paraId="564F07C8" w14:textId="77777777" w:rsidR="001E6D4D" w:rsidRDefault="00000000">
      <w:pPr>
        <w:spacing w:after="60"/>
        <w:ind w:left="360" w:hanging="216"/>
      </w:pPr>
      <w:r>
        <w:rPr>
          <w:sz w:val="19"/>
        </w:rPr>
        <w:t>• My work aligns with It’s on us and Simpler is better because I take responsibility for reducing confusion in the system. The API-driven checkout module simplified a slow workflow while preserving reliability.</w:t>
      </w:r>
    </w:p>
    <w:p w14:paraId="30EA6D9B" w14:textId="77777777" w:rsidR="001E6D4D" w:rsidRDefault="00000000">
      <w:pPr>
        <w:spacing w:after="60"/>
        <w:ind w:left="360" w:hanging="216"/>
      </w:pPr>
      <w:r>
        <w:rPr>
          <w:sz w:val="19"/>
        </w:rPr>
        <w:lastRenderedPageBreak/>
        <w:t>• My work aligns with Push the envelope because I learn through difficult technical research, including reverse engineering and backend automation, while keeping sensitive implementation details separated from professional communication.</w:t>
      </w:r>
    </w:p>
    <w:p w14:paraId="2C7BA701" w14:textId="77777777" w:rsidR="001E6D4D" w:rsidRDefault="00000000">
      <w:pPr>
        <w:spacing w:after="200"/>
      </w:pPr>
      <w:r>
        <w:rPr>
          <w:sz w:val="20"/>
        </w:rPr>
        <w:t>Please contact me at 206-476-7057 or galvezandrew06@gmail.com to discuss how my full-stack project experience, production-minded problem solving, and values fit Affirm’s Software Engineering Apprentice team. Thank you for considering my application.</w:t>
      </w:r>
    </w:p>
    <w:p w14:paraId="1EC2A715" w14:textId="77777777" w:rsidR="001E6D4D" w:rsidRDefault="00000000">
      <w:pPr>
        <w:spacing w:after="200"/>
      </w:pPr>
      <w:r>
        <w:rPr>
          <w:sz w:val="20"/>
        </w:rPr>
        <w:t>Sincerely,</w:t>
      </w:r>
    </w:p>
    <w:p w14:paraId="2C90A2AD" w14:textId="77777777" w:rsidR="001E6D4D" w:rsidRDefault="00000000">
      <w:r>
        <w:rPr>
          <w:rFonts w:ascii="Freestyle Script" w:eastAsia="Freestyle Script" w:hAnsi="Freestyle Script" w:cs="Freestyle Script"/>
          <w:sz w:val="38"/>
          <w:szCs w:val="38"/>
        </w:rPr>
        <w:t>Andrew Galvez</w:t>
      </w:r>
    </w:p>
    <w:p w14:paraId="43BD9CB7" w14:textId="77777777" w:rsidR="001E6D4D" w:rsidRDefault="00000000">
      <w:r>
        <w:rPr>
          <w:sz w:val="20"/>
        </w:rPr>
        <w:t>Andrew Galvez</w:t>
      </w:r>
    </w:p>
    <w:p w14:paraId="5C31F876" w14:textId="77777777" w:rsidR="001E6D4D" w:rsidRDefault="00000000">
      <w:pPr>
        <w:spacing w:after="120"/>
      </w:pPr>
      <w:r>
        <w:rPr>
          <w:sz w:val="20"/>
        </w:rPr>
        <w:t>CSSE Student</w:t>
      </w:r>
    </w:p>
    <w:p w14:paraId="0415BADC" w14:textId="77777777" w:rsidR="001E6D4D" w:rsidRDefault="00000000">
      <w:pPr>
        <w:spacing w:after="120"/>
      </w:pPr>
      <w:r>
        <w:rPr>
          <w:sz w:val="20"/>
        </w:rPr>
        <w:t>Enclosure: Resume</w:t>
      </w:r>
    </w:p>
    <w:p w14:paraId="50AE444A" w14:textId="77777777" w:rsidR="001E6D4D" w:rsidRDefault="00000000">
      <w:r>
        <w:rPr>
          <w:i/>
          <w:sz w:val="18"/>
        </w:rPr>
        <w:t>[Word Count: 566] – Excluding letter frontmatter and endmatter.</w:t>
      </w:r>
    </w:p>
    <w:sectPr w:rsidR="001E6D4D" w:rsidSect="00034616">
      <w:headerReference w:type="default" r:id="rId11"/>
      <w:footerReference w:type="default" r:id="rId12"/>
      <w:pgSz w:w="12240" w:h="15840"/>
      <w:pgMar w:top="936" w:right="1152" w:bottom="79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DE294" w14:textId="77777777" w:rsidR="0025214D" w:rsidRDefault="0025214D">
      <w:r>
        <w:separator/>
      </w:r>
    </w:p>
  </w:endnote>
  <w:endnote w:type="continuationSeparator" w:id="0">
    <w:p w14:paraId="405A5184" w14:textId="77777777" w:rsidR="0025214D" w:rsidRDefault="002521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Freestyle Script">
    <w:panose1 w:val="030804020302050B04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0D4E" w14:textId="77777777" w:rsidR="001E6D4D" w:rsidRDefault="00000000">
    <w:pPr>
      <w:pStyle w:val="Footer"/>
      <w:jc w:val="right"/>
    </w:pPr>
    <w:r>
      <w:fldChar w:fldCharType="begin"/>
    </w:r>
    <w:r>
      <w:instrText>PAGE</w:instrText>
    </w:r>
    <w:r w:rsidR="000F1897">
      <w:fldChar w:fldCharType="separate"/>
    </w:r>
    <w:r w:rsidR="000F1897">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EC470" w14:textId="77777777" w:rsidR="0025214D" w:rsidRDefault="0025214D">
      <w:r>
        <w:separator/>
      </w:r>
    </w:p>
  </w:footnote>
  <w:footnote w:type="continuationSeparator" w:id="0">
    <w:p w14:paraId="3E6FA02F" w14:textId="77777777" w:rsidR="0025214D" w:rsidRDefault="002521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7F6F9" w14:textId="77777777" w:rsidR="001E6D4D" w:rsidRDefault="00000000">
    <w:pPr>
      <w:pStyle w:val="Header"/>
    </w:pPr>
    <w:r>
      <w:rPr>
        <w:sz w:val="18"/>
      </w:rPr>
      <w:t>Galvez - Affirm Apprentice Cover Letter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6889076">
    <w:abstractNumId w:val="8"/>
  </w:num>
  <w:num w:numId="2" w16cid:durableId="1111971341">
    <w:abstractNumId w:val="6"/>
  </w:num>
  <w:num w:numId="3" w16cid:durableId="13269917">
    <w:abstractNumId w:val="5"/>
  </w:num>
  <w:num w:numId="4" w16cid:durableId="476341952">
    <w:abstractNumId w:val="4"/>
  </w:num>
  <w:num w:numId="5" w16cid:durableId="1295600294">
    <w:abstractNumId w:val="7"/>
  </w:num>
  <w:num w:numId="6" w16cid:durableId="822161267">
    <w:abstractNumId w:val="3"/>
  </w:num>
  <w:num w:numId="7" w16cid:durableId="2113742526">
    <w:abstractNumId w:val="2"/>
  </w:num>
  <w:num w:numId="8" w16cid:durableId="1253397054">
    <w:abstractNumId w:val="1"/>
  </w:num>
  <w:num w:numId="9" w16cid:durableId="1362051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897"/>
    <w:rsid w:val="0015074B"/>
    <w:rsid w:val="001E6D4D"/>
    <w:rsid w:val="0025214D"/>
    <w:rsid w:val="0029639D"/>
    <w:rsid w:val="00326F90"/>
    <w:rsid w:val="00A06BFF"/>
    <w:rsid w:val="00AA1D8D"/>
    <w:rsid w:val="00B47730"/>
    <w:rsid w:val="00CB0664"/>
    <w:rsid w:val="00DD23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4B39DA"/>
  <w14:defaultImageDpi w14:val="300"/>
  <w15:docId w15:val="{F32D7011-27E6-46A5-A723-BB55E6B4C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ptos" w:eastAsia="Aptos" w:hAnsi="Aptos" w:cs="Aptos"/>
      <w:color w:val="000000"/>
      <w:sz w:val="21"/>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Aptos" w:eastAsia="Aptos" w:hAnsi="Aptos" w:cs="Aptos"/>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Aptos" w:eastAsia="Aptos" w:hAnsi="Aptos" w:cs="Aptos"/>
    </w:rPr>
  </w:style>
  <w:style w:type="paragraph" w:styleId="NoSpacing">
    <w:name w:val="No Spacing"/>
    <w:uiPriority w:val="1"/>
    <w:qFormat/>
    <w:rsid w:val="00FC693F"/>
    <w:pPr>
      <w:spacing w:after="0" w:line="240" w:lineRule="auto"/>
    </w:pPr>
    <w:rPr>
      <w:rFonts w:ascii="Aptos" w:eastAsia="Aptos" w:hAnsi="Aptos" w:cs="Aptos"/>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ptos" w:eastAsia="Aptos" w:hAnsi="Aptos" w:cs="Aptos"/>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ptos" w:eastAsia="Aptos" w:hAnsi="Aptos" w:cs="Aptos"/>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ptos" w:eastAsia="Aptos" w:hAnsi="Aptos" w:cs="Aptos"/>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tos" w:eastAsia="Aptos" w:hAnsi="Aptos" w:cs="Aptos"/>
      <w:sz w:val="20"/>
      <w:szCs w:val="20"/>
    </w:rPr>
  </w:style>
  <w:style w:type="character" w:customStyle="1" w:styleId="MacroTextChar">
    <w:name w:val="Macro Text Char"/>
    <w:basedOn w:val="DefaultParagraphFont"/>
    <w:link w:val="MacroText"/>
    <w:uiPriority w:val="99"/>
    <w:rsid w:val="0029639D"/>
    <w:rPr>
      <w:rFonts w:ascii="Aptos" w:eastAsia="Aptos" w:hAnsi="Aptos" w:cs="Apto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ptos" w:eastAsia="Aptos" w:hAnsi="Aptos" w:cs="Aptos"/>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rFonts w:ascii="Aptos" w:eastAsia="Aptos" w:hAnsi="Aptos" w:cs="Aptos"/>
      <w:b/>
      <w:bCs/>
    </w:rPr>
  </w:style>
  <w:style w:type="character" w:styleId="Emphasis">
    <w:name w:val="Emphasis"/>
    <w:basedOn w:val="DefaultParagraphFont"/>
    <w:uiPriority w:val="20"/>
    <w:qFormat/>
    <w:rsid w:val="00FC693F"/>
    <w:rPr>
      <w:rFonts w:ascii="Aptos" w:eastAsia="Aptos" w:hAnsi="Aptos" w:cs="Aptos"/>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ptos" w:eastAsia="Aptos" w:hAnsi="Aptos" w:cs="Aptos"/>
      <w:b/>
      <w:bCs/>
      <w:i/>
      <w:iCs/>
      <w:color w:val="4F81BD" w:themeColor="accent1"/>
    </w:rPr>
  </w:style>
  <w:style w:type="character" w:styleId="SubtleEmphasis">
    <w:name w:val="Subtle Emphasis"/>
    <w:basedOn w:val="DefaultParagraphFont"/>
    <w:uiPriority w:val="19"/>
    <w:qFormat/>
    <w:rsid w:val="00FC693F"/>
    <w:rPr>
      <w:rFonts w:ascii="Aptos" w:eastAsia="Aptos" w:hAnsi="Aptos" w:cs="Aptos"/>
      <w:i/>
      <w:iCs/>
      <w:color w:val="808080" w:themeColor="text1" w:themeTint="7F"/>
    </w:rPr>
  </w:style>
  <w:style w:type="character" w:styleId="IntenseEmphasis">
    <w:name w:val="Intense Emphasis"/>
    <w:basedOn w:val="DefaultParagraphFont"/>
    <w:uiPriority w:val="21"/>
    <w:qFormat/>
    <w:rsid w:val="00FC693F"/>
    <w:rPr>
      <w:rFonts w:ascii="Aptos" w:eastAsia="Aptos" w:hAnsi="Aptos" w:cs="Aptos"/>
      <w:b/>
      <w:bCs/>
      <w:i/>
      <w:iCs/>
      <w:color w:val="4F81BD" w:themeColor="accent1"/>
    </w:rPr>
  </w:style>
  <w:style w:type="character" w:styleId="SubtleReference">
    <w:name w:val="Subtle Reference"/>
    <w:basedOn w:val="DefaultParagraphFont"/>
    <w:uiPriority w:val="31"/>
    <w:qFormat/>
    <w:rsid w:val="00FC693F"/>
    <w:rPr>
      <w:rFonts w:ascii="Aptos" w:eastAsia="Aptos" w:hAnsi="Aptos" w:cs="Aptos"/>
      <w:smallCaps/>
      <w:color w:val="C0504D" w:themeColor="accent2"/>
      <w:u w:val="single"/>
    </w:rPr>
  </w:style>
  <w:style w:type="character" w:styleId="IntenseReference">
    <w:name w:val="Intense Reference"/>
    <w:basedOn w:val="DefaultParagraphFont"/>
    <w:uiPriority w:val="32"/>
    <w:qFormat/>
    <w:rsid w:val="00FC693F"/>
    <w:rPr>
      <w:rFonts w:ascii="Aptos" w:eastAsia="Aptos" w:hAnsi="Aptos" w:cs="Aptos"/>
      <w:b/>
      <w:bCs/>
      <w:smallCaps/>
      <w:color w:val="C0504D" w:themeColor="accent2"/>
      <w:spacing w:val="5"/>
      <w:u w:val="single"/>
    </w:rPr>
  </w:style>
  <w:style w:type="character" w:styleId="BookTitle">
    <w:name w:val="Book Title"/>
    <w:basedOn w:val="DefaultParagraphFont"/>
    <w:uiPriority w:val="33"/>
    <w:qFormat/>
    <w:rsid w:val="00FC693F"/>
    <w:rPr>
      <w:rFonts w:ascii="Aptos" w:eastAsia="Aptos" w:hAnsi="Aptos" w:cs="Aptos"/>
      <w:b/>
      <w:bCs/>
      <w:smallCaps/>
      <w:spacing w:val="5"/>
    </w:rPr>
  </w:style>
  <w:style w:type="paragraph" w:styleId="TOCHeading">
    <w:name w:val="TOC Heading"/>
    <w:basedOn w:val="Heading1"/>
    <w:next w:val="Normal"/>
    <w:uiPriority w:val="39"/>
    <w:semiHidden/>
    <w:unhideWhenUsed/>
    <w:qFormat/>
    <w:rsid w:val="00FC693F"/>
    <w:pPr>
      <w:outlineLvl w:val="9"/>
    </w:pPr>
    <w:rPr>
      <w:rFonts w:ascii="Aptos" w:eastAsia="Aptos" w:hAnsi="Aptos" w:cs="Aptos"/>
    </w:rPr>
  </w:style>
  <w:style w:type="table" w:styleId="TableGrid">
    <w:name w:val="Table Grid"/>
    <w:basedOn w:val="TableNormal"/>
    <w:uiPriority w:val="59"/>
    <w:rsid w:val="00FC693F"/>
    <w:pPr>
      <w:spacing w:after="0" w:line="240" w:lineRule="auto"/>
    </w:pPr>
    <w:rPr>
      <w:rFonts w:ascii="Aptos" w:eastAsia="Aptos" w:hAnsi="Aptos" w:cs="Apto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ptos" w:eastAsia="Aptos" w:hAnsi="Aptos" w:cs="Aptos"/>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ptos" w:eastAsia="Aptos" w:hAnsi="Aptos" w:cs="Aptos"/>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ptos" w:eastAsia="Aptos" w:hAnsi="Aptos" w:cs="Aptos"/>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ptos" w:eastAsia="Aptos" w:hAnsi="Aptos" w:cs="Aptos"/>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ptos" w:eastAsia="Aptos" w:hAnsi="Aptos" w:cs="Aptos"/>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ptos" w:eastAsia="Aptos" w:hAnsi="Aptos" w:cs="Aptos"/>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ptos" w:eastAsia="Aptos" w:hAnsi="Aptos" w:cs="Aptos"/>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ptos" w:eastAsia="Aptos" w:hAnsi="Aptos" w:cs="Apto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tblPr/>
      <w:tcPr>
        <w:shd w:val="clear" w:color="auto" w:fill="000000" w:themeFill="text1"/>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ptos" w:eastAsia="Aptos" w:hAnsi="Aptos" w:cs="Apto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tblPr/>
      <w:tcPr>
        <w:shd w:val="clear" w:color="auto" w:fill="4F81BD" w:themeFill="accent1"/>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ptos" w:eastAsia="Aptos" w:hAnsi="Aptos" w:cs="Apto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tblPr/>
      <w:tcPr>
        <w:shd w:val="clear" w:color="auto" w:fill="C0504D" w:themeFill="accent2"/>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ptos" w:eastAsia="Aptos" w:hAnsi="Aptos" w:cs="Apto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tblPr/>
      <w:tcPr>
        <w:shd w:val="clear" w:color="auto" w:fill="9BBB59" w:themeFill="accent3"/>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ptos" w:eastAsia="Aptos" w:hAnsi="Aptos" w:cs="Apto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tblPr/>
      <w:tcPr>
        <w:shd w:val="clear" w:color="auto" w:fill="8064A2" w:themeFill="accent4"/>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ptos" w:eastAsia="Aptos" w:hAnsi="Aptos" w:cs="Apto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tblPr/>
      <w:tcPr>
        <w:shd w:val="clear" w:color="auto" w:fill="4BACC6" w:themeFill="accent5"/>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ptos" w:eastAsia="Aptos" w:hAnsi="Aptos" w:cs="Apto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tblPr/>
      <w:tcPr>
        <w:shd w:val="clear" w:color="auto" w:fill="F79646" w:themeFill="accent6"/>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ptos" w:eastAsia="Aptos" w:hAnsi="Aptos" w:cs="Apto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lastCol">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ptos" w:eastAsia="Aptos" w:hAnsi="Aptos" w:cs="Apto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lastCol">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ptos" w:eastAsia="Aptos" w:hAnsi="Aptos" w:cs="Apto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lastCol">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ptos" w:eastAsia="Aptos" w:hAnsi="Aptos" w:cs="Aptos"/>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lastCol">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ptos" w:eastAsia="Aptos" w:hAnsi="Aptos" w:cs="Aptos"/>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lastCol">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ptos" w:eastAsia="Aptos" w:hAnsi="Aptos" w:cs="Apto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lastCol">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ptos" w:eastAsia="Aptos" w:hAnsi="Aptos" w:cs="Aptos"/>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lastCol">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ptos" w:eastAsia="Aptos" w:hAnsi="Aptos" w:cs="Apto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ptos" w:eastAsia="Aptos" w:hAnsi="Aptos" w:cs="Apto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ptos" w:eastAsia="Aptos" w:hAnsi="Aptos" w:cs="Apto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ptos" w:eastAsia="Aptos" w:hAnsi="Aptos" w:cs="Apto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ptos" w:eastAsia="Aptos" w:hAnsi="Aptos" w:cs="Apto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ptos" w:eastAsia="Aptos" w:hAnsi="Aptos" w:cs="Apto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ptos" w:eastAsia="Aptos" w:hAnsi="Aptos" w:cs="Apto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000000" w:themeFill="text1"/>
      </w:tcPr>
    </w:tblStylePr>
    <w:tblStylePr w:type="lastCol">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F81BD" w:themeFill="accent1"/>
      </w:tcPr>
    </w:tblStylePr>
    <w:tblStylePr w:type="lastCol">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C0504D" w:themeFill="accent2"/>
      </w:tcPr>
    </w:tblStylePr>
    <w:tblStylePr w:type="lastCol">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9BBB59" w:themeFill="accent3"/>
      </w:tcPr>
    </w:tblStylePr>
    <w:tblStylePr w:type="lastCol">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8064A2" w:themeFill="accent4"/>
      </w:tcPr>
    </w:tblStylePr>
    <w:tblStylePr w:type="lastCol">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4BACC6" w:themeFill="accent5"/>
      </w:tcPr>
    </w:tblStylePr>
    <w:tblStylePr w:type="lastCol">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ptos" w:eastAsia="Aptos" w:hAnsi="Aptos" w:cs="Aptos"/>
    </w:rPr>
    <w:tblPr>
      <w:tblStyleRowBandSize w:val="1"/>
      <w:tblStyleColBandSize w:val="1"/>
      <w:tblBorders>
        <w:top w:val="single" w:sz="18" w:space="0" w:color="auto"/>
        <w:bottom w:val="single" w:sz="18" w:space="0" w:color="auto"/>
      </w:tblBorders>
    </w:tblPr>
    <w:tblStylePr w:type="firstRow">
      <w:pPr>
        <w:spacing w:before="0" w:after="0" w:line="240" w:lineRule="auto"/>
      </w:p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tblPr/>
      <w:tcPr>
        <w:tcBorders>
          <w:top w:val="nil"/>
          <w:left w:val="nil"/>
          <w:bottom w:val="single" w:sz="18" w:space="0" w:color="auto"/>
          <w:right w:val="nil"/>
          <w:insideH w:val="nil"/>
          <w:insideV w:val="nil"/>
        </w:tcBorders>
        <w:shd w:val="clear" w:color="auto" w:fill="F79646" w:themeFill="accent6"/>
      </w:tcPr>
    </w:tblStylePr>
    <w:tblStylePr w:type="lastCol">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ptos" w:eastAsia="Aptos" w:hAnsi="Aptos" w:cs="Aptos"/>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ptos" w:eastAsia="Aptos" w:hAnsi="Aptos" w:cs="Apto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lastRow">
      <w:tblPr/>
      <w:tcPr>
        <w:tcBorders>
          <w:top w:val="single" w:sz="18" w:space="0" w:color="404040" w:themeColor="text1" w:themeTint="BF"/>
        </w:tcBorders>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ptos" w:eastAsia="Aptos" w:hAnsi="Aptos" w:cs="Aptos"/>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lastRow">
      <w:tblPr/>
      <w:tcPr>
        <w:tcBorders>
          <w:top w:val="single" w:sz="18" w:space="0" w:color="7BA0CD" w:themeColor="accent1" w:themeTint="BF"/>
        </w:tcBorders>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ptos" w:eastAsia="Aptos" w:hAnsi="Aptos" w:cs="Aptos"/>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lastRow">
      <w:tblPr/>
      <w:tcPr>
        <w:tcBorders>
          <w:top w:val="single" w:sz="18" w:space="0" w:color="CF7B79" w:themeColor="accent2" w:themeTint="BF"/>
        </w:tcBorders>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ptos" w:eastAsia="Aptos" w:hAnsi="Aptos" w:cs="Aptos"/>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lastRow">
      <w:tblPr/>
      <w:tcPr>
        <w:tcBorders>
          <w:top w:val="single" w:sz="18" w:space="0" w:color="B3CC82" w:themeColor="accent3" w:themeTint="BF"/>
        </w:tcBorders>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ptos" w:eastAsia="Aptos" w:hAnsi="Aptos" w:cs="Aptos"/>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lastRow">
      <w:tblPr/>
      <w:tcPr>
        <w:tcBorders>
          <w:top w:val="single" w:sz="18" w:space="0" w:color="9F8AB9" w:themeColor="accent4" w:themeTint="BF"/>
        </w:tcBorders>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ptos" w:eastAsia="Aptos" w:hAnsi="Aptos" w:cs="Aptos"/>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lastRow">
      <w:tblPr/>
      <w:tcPr>
        <w:tcBorders>
          <w:top w:val="single" w:sz="18" w:space="0" w:color="78C0D4" w:themeColor="accent5" w:themeTint="BF"/>
        </w:tcBorders>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ptos" w:eastAsia="Aptos" w:hAnsi="Aptos" w:cs="Aptos"/>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lastRow">
      <w:tblPr/>
      <w:tcPr>
        <w:tcBorders>
          <w:top w:val="single" w:sz="18" w:space="0" w:color="F9B074" w:themeColor="accent6" w:themeTint="BF"/>
        </w:tcBorders>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ptos" w:eastAsia="Aptos" w:hAnsi="Aptos" w:cs="Apto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ptos" w:eastAsia="Aptos" w:hAnsi="Aptos" w:cs="Aptos"/>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ptos" w:eastAsia="Aptos" w:hAnsi="Aptos" w:cs="Aptos"/>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ptos" w:eastAsia="Aptos" w:hAnsi="Aptos" w:cs="Aptos"/>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ptos" w:eastAsia="Aptos" w:hAnsi="Aptos" w:cs="Aptos"/>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b-boards.greenhouse.io/affirm/jobs/7647925003"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investors.affirm.com/node/13181/pdf" TargetMode="External"/><Relationship Id="rId4" Type="http://schemas.openxmlformats.org/officeDocument/2006/relationships/settings" Target="settings.xml"/><Relationship Id="rId9" Type="http://schemas.openxmlformats.org/officeDocument/2006/relationships/hyperlink" Target="https://investors.affirm.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ptos"/>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Andrew Galvez</cp:lastModifiedBy>
  <cp:revision>3</cp:revision>
  <dcterms:created xsi:type="dcterms:W3CDTF">2013-12-23T23:15:00Z</dcterms:created>
  <dcterms:modified xsi:type="dcterms:W3CDTF">2026-06-06T01:00:00Z</dcterms:modified>
  <cp:category/>
</cp:coreProperties>
</file>