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200"/>
        <w:jc w:val="center"/>
      </w:pPr>
      <w:r>
        <w:drawing>
          <wp:inline xmlns:a="http://schemas.openxmlformats.org/drawingml/2006/main" xmlns:pic="http://schemas.openxmlformats.org/drawingml/2006/picture">
            <wp:extent cx="3017520" cy="1027915"/>
            <wp:docPr id="1" name="Picture 1"/>
            <wp:cNvGraphicFramePr>
              <a:graphicFrameLocks noChangeAspect="1"/>
            </wp:cNvGraphicFramePr>
            <a:graphic>
              <a:graphicData uri="http://schemas.openxmlformats.org/drawingml/2006/picture">
                <pic:pic>
                  <pic:nvPicPr>
                    <pic:cNvPr id="0" name="vit_logo.png"/>
                    <pic:cNvPicPr/>
                  </pic:nvPicPr>
                  <pic:blipFill>
                    <a:blip r:embed="rId9"/>
                    <a:stretch>
                      <a:fillRect/>
                    </a:stretch>
                  </pic:blipFill>
                  <pic:spPr>
                    <a:xfrm>
                      <a:off x="0" y="0"/>
                      <a:ext cx="3017520" cy="1027915"/>
                    </a:xfrm>
                    <a:prstGeom prst="rect"/>
                  </pic:spPr>
                </pic:pic>
              </a:graphicData>
            </a:graphic>
          </wp:inline>
        </w:drawing>
      </w:r>
    </w:p>
    <w:p>
      <w:pPr>
        <w:spacing w:after="60"/>
        <w:jc w:val="center"/>
      </w:pPr>
      <w:r>
        <w:rPr>
          <w:rFonts w:ascii="Times New Roman" w:hAnsi="Times New Roman"/>
          <w:b/>
          <w:color w:val="000000"/>
          <w:sz w:val="32"/>
        </w:rPr>
        <w:t>School of Computer Science and Engineering</w:t>
      </w:r>
    </w:p>
    <w:p>
      <w:pPr>
        <w:spacing w:after="60"/>
        <w:jc w:val="center"/>
      </w:pPr>
      <w:r>
        <w:rPr>
          <w:rFonts w:ascii="Times New Roman" w:hAnsi="Times New Roman"/>
          <w:b/>
          <w:color w:val="282828"/>
          <w:sz w:val="26"/>
        </w:rPr>
        <w:t>Course code:BCSE355L Course Name: Cloud Architecture Design</w:t>
      </w:r>
    </w:p>
    <w:p>
      <w:pPr>
        <w:spacing w:after="520"/>
        <w:jc w:val="center"/>
      </w:pPr>
      <w:r>
        <w:rPr>
          <w:rFonts w:ascii="Times New Roman" w:hAnsi="Times New Roman"/>
          <w:b/>
          <w:color w:val="000000"/>
          <w:sz w:val="28"/>
        </w:rPr>
        <w:t>Direct Assessment III: Max Marks: 10</w:t>
      </w:r>
    </w:p>
    <w:p>
      <w:pPr>
        <w:spacing w:after="120"/>
        <w:jc w:val="center"/>
      </w:pPr>
      <w:r>
        <w:rPr>
          <w:rFonts w:ascii="Times New Roman" w:hAnsi="Times New Roman"/>
          <w:b/>
          <w:color w:val="000000"/>
          <w:sz w:val="56"/>
        </w:rPr>
        <w:t>ClearPay</w:t>
      </w:r>
    </w:p>
    <w:p>
      <w:pPr>
        <w:spacing w:after="640"/>
        <w:jc w:val="center"/>
      </w:pPr>
      <w:r>
        <w:rPr>
          <w:rFonts w:ascii="Times New Roman" w:hAnsi="Times New Roman"/>
          <w:b/>
          <w:color w:val="323232"/>
          <w:sz w:val="30"/>
        </w:rPr>
        <w:t>Liquidity-Aware, Fault-Tolerant Payment Clearing and Settlement on AWS Serverless</w:t>
      </w:r>
    </w:p>
    <w:p>
      <w:pPr>
        <w:spacing w:after="100"/>
        <w:jc w:val="center"/>
      </w:pPr>
      <w:r>
        <w:rPr>
          <w:rFonts w:ascii="Times New Roman" w:hAnsi="Times New Roman"/>
          <w:b/>
          <w:color w:val="3C3C3C"/>
          <w:sz w:val="26"/>
        </w:rPr>
        <w:t>Team members reg Id, Name:</w:t>
      </w:r>
    </w:p>
    <w:p>
      <w:pPr>
        <w:spacing w:after="40"/>
        <w:jc w:val="center"/>
      </w:pPr>
      <w:r>
        <w:rPr>
          <w:rFonts w:ascii="Times New Roman" w:hAnsi="Times New Roman"/>
          <w:b/>
          <w:color w:val="000000"/>
          <w:sz w:val="28"/>
        </w:rPr>
        <w:t>24BCE1142, Andrea A</w:t>
      </w:r>
    </w:p>
    <w:p>
      <w:pPr>
        <w:spacing w:after="440"/>
        <w:jc w:val="center"/>
      </w:pPr>
      <w:r>
        <w:rPr>
          <w:rFonts w:ascii="Times New Roman" w:hAnsi="Times New Roman"/>
          <w:b/>
          <w:color w:val="000000"/>
          <w:sz w:val="28"/>
        </w:rPr>
        <w:t>24BCE1400, Viswanadham Venkata Mrinalini</w:t>
      </w:r>
    </w:p>
    <w:p>
      <w:pPr>
        <w:spacing w:after="60"/>
        <w:jc w:val="center"/>
      </w:pPr>
      <w:r>
        <w:rPr>
          <w:rFonts w:ascii="Times New Roman" w:hAnsi="Times New Roman"/>
          <w:b/>
          <w:color w:val="282828"/>
          <w:sz w:val="26"/>
        </w:rPr>
        <w:t>Faculty Guide: Dr. S. Vigneshwari</w:t>
      </w:r>
    </w:p>
    <w:p>
      <w:pPr>
        <w:spacing w:after="240"/>
        <w:jc w:val="center"/>
      </w:pPr>
      <w:r>
        <w:rPr>
          <w:rFonts w:ascii="Times New Roman" w:hAnsi="Times New Roman"/>
          <w:color w:val="505050"/>
          <w:sz w:val="24"/>
        </w:rPr>
        <w:t>October - 2026</w:t>
      </w:r>
    </w:p>
    <w:p>
      <w:r>
        <w:br w:type="page"/>
      </w:r>
    </w:p>
    <w:p>
      <w:pPr>
        <w:keepNext/>
        <w:spacing w:before="360" w:after="120"/>
      </w:pPr>
      <w:r>
        <w:rPr>
          <w:rFonts w:ascii="Times New Roman" w:hAnsi="Times New Roman"/>
          <w:b/>
          <w:color w:val="000000"/>
          <w:sz w:val="32"/>
        </w:rPr>
        <w:t>Report Structure &amp; Table of Contents</w:t>
      </w:r>
    </w:p>
    <w:p>
      <w:pPr>
        <w:spacing w:after="120" w:line="276" w:lineRule="auto"/>
        <w:jc w:val="both"/>
      </w:pPr>
      <w:r>
        <w:rPr>
          <w:rFonts w:ascii="Times New Roman" w:hAnsi="Times New Roman"/>
          <w:color w:val="000000"/>
          <w:sz w:val="24"/>
        </w:rPr>
        <w:t>This report is structured according to the official VIT BCSE355L Direct Assessment III reporting specifications, indexed and numbered sequentially as follows:</w:t>
      </w:r>
    </w:p>
    <w:tbl>
      <w:tblPr>
        <w:tblW w:type="auto" w:w="0"/>
        <w:jc w:val="center"/>
        <w:tblLook w:firstColumn="1" w:firstRow="1" w:lastColumn="0" w:lastRow="0" w:noHBand="0" w:noVBand="1" w:val="04A0"/>
        <w:tblBorders>
          <w:top w:val="single" w:sz="6" w:space="0" w:color="888888"/>
          <w:bottom w:val="single" w:sz="6" w:space="0" w:color="888888"/>
          <w:insideH w:val="single" w:sz="4" w:space="0" w:color="CCCCCC"/>
          <w:left w:val="none"/>
          <w:right w:val="none"/>
          <w:insideV w:val="none"/>
        </w:tblBorders>
      </w:tblPr>
      <w:tblGrid>
        <w:gridCol w:w="3744"/>
        <w:gridCol w:w="5616"/>
      </w:tblGrid>
      <w:tr>
        <w:tc>
          <w:tcPr>
            <w:tcW w:type="dxa" w:w="4680"/>
            <w:tcMar>
              <w:top w:w="100" w:type="dxa"/>
              <w:bottom w:w="100" w:type="dxa"/>
              <w:left w:w="140" w:type="dxa"/>
              <w:right w:w="140" w:type="dxa"/>
            </w:tcMar>
            <w:shd w:fill="2B2B2B"/>
          </w:tcPr>
          <w:p>
            <w:pPr>
              <w:jc w:val="left"/>
            </w:pPr>
            <w:r>
              <w:rPr>
                <w:rFonts w:ascii="Times New Roman" w:hAnsi="Times New Roman"/>
                <w:b/>
                <w:color w:val="FFFFFF"/>
                <w:sz w:val="22"/>
              </w:rPr>
              <w:t>Section Number &amp; Title</w:t>
            </w:r>
          </w:p>
        </w:tc>
        <w:tc>
          <w:tcPr>
            <w:tcW w:type="dxa" w:w="4680"/>
            <w:tcMar>
              <w:top w:w="100" w:type="dxa"/>
              <w:bottom w:w="100" w:type="dxa"/>
              <w:left w:w="140" w:type="dxa"/>
              <w:right w:w="140" w:type="dxa"/>
            </w:tcMar>
            <w:shd w:fill="2B2B2B"/>
          </w:tcPr>
          <w:p>
            <w:pPr>
              <w:jc w:val="left"/>
            </w:pPr>
            <w:r>
              <w:rPr>
                <w:rFonts w:ascii="Times New Roman" w:hAnsi="Times New Roman"/>
                <w:b/>
                <w:color w:val="FFFFFF"/>
                <w:sz w:val="22"/>
              </w:rPr>
              <w:t>Content &amp; Technical Coverage</w:t>
            </w:r>
          </w:p>
        </w:tc>
      </w:tr>
      <w:tr>
        <w:tc>
          <w:tcPr>
            <w:tcW w:type="dxa" w:w="4680"/>
            <w:tcMar>
              <w:top w:w="100" w:type="dxa"/>
              <w:bottom w:w="100" w:type="dxa"/>
              <w:left w:w="140" w:type="dxa"/>
              <w:right w:w="140" w:type="dxa"/>
            </w:tcMar>
            <w:shd w:fill="F9F9F9"/>
          </w:tcPr>
          <w:p>
            <w:pPr>
              <w:jc w:val="left"/>
            </w:pPr>
            <w:r>
              <w:rPr>
                <w:rFonts w:ascii="Times New Roman" w:hAnsi="Times New Roman"/>
                <w:b/>
                <w:color w:val="000000"/>
                <w:sz w:val="21"/>
              </w:rPr>
              <w:t>1. Title</w:t>
            </w:r>
          </w:p>
        </w:tc>
        <w:tc>
          <w:tcPr>
            <w:tcW w:type="dxa" w:w="4680"/>
            <w:tcMar>
              <w:top w:w="100" w:type="dxa"/>
              <w:bottom w:w="100" w:type="dxa"/>
              <w:left w:w="140" w:type="dxa"/>
              <w:right w:w="140" w:type="dxa"/>
            </w:tcMar>
            <w:shd w:fill="F9F9F9"/>
          </w:tcPr>
          <w:p>
            <w:pPr>
              <w:jc w:val="left"/>
            </w:pPr>
            <w:r>
              <w:rPr>
                <w:rFonts w:ascii="Times New Roman" w:hAnsi="Times New Roman"/>
                <w:color w:val="000000"/>
                <w:sz w:val="21"/>
              </w:rPr>
              <w:t>Formal project nomenclature, scope, and cloud architecture domain.</w:t>
            </w:r>
          </w:p>
        </w:tc>
      </w:tr>
      <w:tr>
        <w:tc>
          <w:tcPr>
            <w:tcW w:type="dxa" w:w="4680"/>
            <w:tcMar>
              <w:top w:w="100" w:type="dxa"/>
              <w:bottom w:w="100" w:type="dxa"/>
              <w:left w:w="140" w:type="dxa"/>
              <w:right w:w="140" w:type="dxa"/>
            </w:tcMar>
            <w:shd w:fill="FFFFFF"/>
          </w:tcPr>
          <w:p>
            <w:pPr>
              <w:jc w:val="left"/>
            </w:pPr>
            <w:r>
              <w:rPr>
                <w:rFonts w:ascii="Times New Roman" w:hAnsi="Times New Roman"/>
                <w:b/>
                <w:color w:val="000000"/>
                <w:sz w:val="21"/>
              </w:rPr>
              <w:t>2. Abstract</w:t>
            </w:r>
          </w:p>
        </w:tc>
        <w:tc>
          <w:tcPr>
            <w:tcW w:type="dxa" w:w="4680"/>
            <w:tcMar>
              <w:top w:w="100" w:type="dxa"/>
              <w:bottom w:w="100" w:type="dxa"/>
              <w:left w:w="140" w:type="dxa"/>
              <w:right w:w="140" w:type="dxa"/>
            </w:tcMar>
            <w:shd w:fill="FFFFFF"/>
          </w:tcPr>
          <w:p>
            <w:pPr>
              <w:jc w:val="left"/>
            </w:pPr>
            <w:r>
              <w:rPr>
                <w:rFonts w:ascii="Times New Roman" w:hAnsi="Times New Roman"/>
                <w:color w:val="000000"/>
                <w:sz w:val="21"/>
              </w:rPr>
              <w:t>Executive technical summary: problem context, AWS serverless design, algorithmic novelty, and empirical findings.</w:t>
            </w:r>
          </w:p>
        </w:tc>
      </w:tr>
      <w:tr>
        <w:tc>
          <w:tcPr>
            <w:tcW w:type="dxa" w:w="4680"/>
            <w:tcMar>
              <w:top w:w="100" w:type="dxa"/>
              <w:bottom w:w="100" w:type="dxa"/>
              <w:left w:w="140" w:type="dxa"/>
              <w:right w:w="140" w:type="dxa"/>
            </w:tcMar>
            <w:shd w:fill="F9F9F9"/>
          </w:tcPr>
          <w:p>
            <w:pPr>
              <w:jc w:val="left"/>
            </w:pPr>
            <w:r>
              <w:rPr>
                <w:rFonts w:ascii="Times New Roman" w:hAnsi="Times New Roman"/>
                <w:b/>
                <w:color w:val="000000"/>
                <w:sz w:val="21"/>
              </w:rPr>
              <w:t>3. Problem statement:</w:t>
            </w:r>
          </w:p>
        </w:tc>
        <w:tc>
          <w:tcPr>
            <w:tcW w:type="dxa" w:w="4680"/>
            <w:tcMar>
              <w:top w:w="100" w:type="dxa"/>
              <w:bottom w:w="100" w:type="dxa"/>
              <w:left w:w="140" w:type="dxa"/>
              <w:right w:w="140" w:type="dxa"/>
            </w:tcMar>
            <w:shd w:fill="F9F9F9"/>
          </w:tcPr>
          <w:p>
            <w:pPr>
              <w:jc w:val="left"/>
            </w:pPr>
            <w:r>
              <w:rPr>
                <w:rFonts w:ascii="Times New Roman" w:hAnsi="Times New Roman"/>
                <w:color w:val="000000"/>
                <w:sz w:val="21"/>
              </w:rPr>
              <w:t>Systemic challenges in RTGS and multilateral netting: all-or-nothing failure, cycle deadlocks, and retry hazards.</w:t>
            </w:r>
          </w:p>
        </w:tc>
      </w:tr>
      <w:tr>
        <w:tc>
          <w:tcPr>
            <w:tcW w:type="dxa" w:w="4680"/>
            <w:tcMar>
              <w:top w:w="100" w:type="dxa"/>
              <w:bottom w:w="100" w:type="dxa"/>
              <w:left w:w="140" w:type="dxa"/>
              <w:right w:w="140" w:type="dxa"/>
            </w:tcMar>
            <w:shd w:fill="FFFFFF"/>
          </w:tcPr>
          <w:p>
            <w:pPr>
              <w:jc w:val="left"/>
            </w:pPr>
            <w:r>
              <w:rPr>
                <w:rFonts w:ascii="Times New Roman" w:hAnsi="Times New Roman"/>
                <w:b/>
                <w:color w:val="000000"/>
                <w:sz w:val="21"/>
              </w:rPr>
              <w:t>4. Highlights of your project/Novelty:</w:t>
            </w:r>
          </w:p>
        </w:tc>
        <w:tc>
          <w:tcPr>
            <w:tcW w:type="dxa" w:w="4680"/>
            <w:tcMar>
              <w:top w:w="100" w:type="dxa"/>
              <w:bottom w:w="100" w:type="dxa"/>
              <w:left w:w="140" w:type="dxa"/>
              <w:right w:w="140" w:type="dxa"/>
            </w:tcMar>
            <w:shd w:fill="FFFFFF"/>
          </w:tcPr>
          <w:p>
            <w:pPr>
              <w:jc w:val="left"/>
            </w:pPr>
            <w:r>
              <w:rPr>
                <w:rFonts w:ascii="Times New Roman" w:hAnsi="Times New Roman"/>
                <w:color w:val="000000"/>
                <w:sz w:val="21"/>
              </w:rPr>
              <w:t>10 distinct engineering contributions spanning BCGR, HSC, starvation-free aging, and deterministic AWS persistence.</w:t>
            </w:r>
          </w:p>
        </w:tc>
      </w:tr>
      <w:tr>
        <w:tc>
          <w:tcPr>
            <w:tcW w:type="dxa" w:w="4680"/>
            <w:tcMar>
              <w:top w:w="100" w:type="dxa"/>
              <w:bottom w:w="100" w:type="dxa"/>
              <w:left w:w="140" w:type="dxa"/>
              <w:right w:w="140" w:type="dxa"/>
            </w:tcMar>
            <w:shd w:fill="F9F9F9"/>
          </w:tcPr>
          <w:p>
            <w:pPr>
              <w:jc w:val="left"/>
            </w:pPr>
            <w:r>
              <w:rPr>
                <w:rFonts w:ascii="Times New Roman" w:hAnsi="Times New Roman"/>
                <w:b/>
                <w:color w:val="000000"/>
                <w:sz w:val="21"/>
              </w:rPr>
              <w:t>5. Dataset Link:</w:t>
            </w:r>
          </w:p>
        </w:tc>
        <w:tc>
          <w:tcPr>
            <w:tcW w:type="dxa" w:w="4680"/>
            <w:tcMar>
              <w:top w:w="100" w:type="dxa"/>
              <w:bottom w:w="100" w:type="dxa"/>
              <w:left w:w="140" w:type="dxa"/>
              <w:right w:w="140" w:type="dxa"/>
            </w:tcMar>
            <w:shd w:fill="F9F9F9"/>
          </w:tcPr>
          <w:p>
            <w:pPr>
              <w:jc w:val="left"/>
            </w:pPr>
            <w:r>
              <w:rPr>
                <w:rFonts w:ascii="Times New Roman" w:hAnsi="Times New Roman"/>
                <w:color w:val="000000"/>
                <w:sz w:val="21"/>
              </w:rPr>
              <w:t>Stanford SNAP Bitcoin OTC, Bitcoin Alpha, and Ethereum Stablecoin ERC-20 transfer network specifications and citations.</w:t>
            </w:r>
          </w:p>
        </w:tc>
      </w:tr>
      <w:tr>
        <w:tc>
          <w:tcPr>
            <w:tcW w:type="dxa" w:w="4680"/>
            <w:tcMar>
              <w:top w:w="100" w:type="dxa"/>
              <w:bottom w:w="100" w:type="dxa"/>
              <w:left w:w="140" w:type="dxa"/>
              <w:right w:w="140" w:type="dxa"/>
            </w:tcMar>
            <w:shd w:fill="FFFFFF"/>
          </w:tcPr>
          <w:p>
            <w:pPr>
              <w:jc w:val="left"/>
            </w:pPr>
            <w:r>
              <w:rPr>
                <w:rFonts w:ascii="Times New Roman" w:hAnsi="Times New Roman"/>
                <w:b/>
                <w:color w:val="000000"/>
                <w:sz w:val="21"/>
              </w:rPr>
              <w:t>6. Project demo link:</w:t>
            </w:r>
          </w:p>
        </w:tc>
        <w:tc>
          <w:tcPr>
            <w:tcW w:type="dxa" w:w="4680"/>
            <w:tcMar>
              <w:top w:w="100" w:type="dxa"/>
              <w:bottom w:w="100" w:type="dxa"/>
              <w:left w:w="140" w:type="dxa"/>
              <w:right w:w="140" w:type="dxa"/>
            </w:tcMar>
            <w:shd w:fill="FFFFFF"/>
          </w:tcPr>
          <w:p>
            <w:pPr>
              <w:jc w:val="left"/>
            </w:pPr>
            <w:r>
              <w:rPr>
                <w:rFonts w:ascii="Times New Roman" w:hAnsi="Times New Roman"/>
                <w:color w:val="000000"/>
                <w:sz w:val="21"/>
              </w:rPr>
              <w:t>Live Streamlit interactive fintech dashboard, hosted deployment guide, and operational instructions.</w:t>
            </w:r>
          </w:p>
        </w:tc>
      </w:tr>
      <w:tr>
        <w:tc>
          <w:tcPr>
            <w:tcW w:type="dxa" w:w="4680"/>
            <w:tcMar>
              <w:top w:w="100" w:type="dxa"/>
              <w:bottom w:w="100" w:type="dxa"/>
              <w:left w:w="140" w:type="dxa"/>
              <w:right w:w="140" w:type="dxa"/>
            </w:tcMar>
            <w:shd w:fill="F9F9F9"/>
          </w:tcPr>
          <w:p>
            <w:pPr>
              <w:jc w:val="left"/>
            </w:pPr>
            <w:r>
              <w:rPr>
                <w:rFonts w:ascii="Times New Roman" w:hAnsi="Times New Roman"/>
                <w:b/>
                <w:color w:val="000000"/>
                <w:sz w:val="21"/>
              </w:rPr>
              <w:t>7. GitHub repository link:</w:t>
            </w:r>
          </w:p>
        </w:tc>
        <w:tc>
          <w:tcPr>
            <w:tcW w:type="dxa" w:w="4680"/>
            <w:tcMar>
              <w:top w:w="100" w:type="dxa"/>
              <w:bottom w:w="100" w:type="dxa"/>
              <w:left w:w="140" w:type="dxa"/>
              <w:right w:w="140" w:type="dxa"/>
            </w:tcMar>
            <w:shd w:fill="F9F9F9"/>
          </w:tcPr>
          <w:p>
            <w:pPr>
              <w:jc w:val="left"/>
            </w:pPr>
            <w:r>
              <w:rPr>
                <w:rFonts w:ascii="Times New Roman" w:hAnsi="Times New Roman"/>
                <w:color w:val="000000"/>
                <w:sz w:val="21"/>
              </w:rPr>
              <w:t>Public GitHub repository, formal citations, and architectural directory layout.</w:t>
            </w:r>
          </w:p>
        </w:tc>
      </w:tr>
      <w:tr>
        <w:tc>
          <w:tcPr>
            <w:tcW w:type="dxa" w:w="4680"/>
            <w:tcMar>
              <w:top w:w="100" w:type="dxa"/>
              <w:bottom w:w="100" w:type="dxa"/>
              <w:left w:w="140" w:type="dxa"/>
              <w:right w:w="140" w:type="dxa"/>
            </w:tcMar>
            <w:shd w:fill="FFFFFF"/>
          </w:tcPr>
          <w:p>
            <w:pPr>
              <w:jc w:val="left"/>
            </w:pPr>
            <w:r>
              <w:rPr>
                <w:rFonts w:ascii="Times New Roman" w:hAnsi="Times New Roman"/>
                <w:b/>
                <w:color w:val="000000"/>
                <w:sz w:val="21"/>
              </w:rPr>
              <w:t>8. Architecture Diagram:</w:t>
            </w:r>
          </w:p>
        </w:tc>
        <w:tc>
          <w:tcPr>
            <w:tcW w:type="dxa" w:w="4680"/>
            <w:tcMar>
              <w:top w:w="100" w:type="dxa"/>
              <w:bottom w:w="100" w:type="dxa"/>
              <w:left w:w="140" w:type="dxa"/>
              <w:right w:w="140" w:type="dxa"/>
            </w:tcMar>
            <w:shd w:fill="FFFFFF"/>
          </w:tcPr>
          <w:p>
            <w:pPr>
              <w:jc w:val="left"/>
            </w:pPr>
            <w:r>
              <w:rPr>
                <w:rFonts w:ascii="Times New Roman" w:hAnsi="Times New Roman"/>
                <w:color w:val="000000"/>
                <w:sz w:val="21"/>
              </w:rPr>
              <w:t>Six-tier AWS serverless event-driven architecture (Figure 1) and persistence data model (Table 1).</w:t>
            </w:r>
          </w:p>
        </w:tc>
      </w:tr>
      <w:tr>
        <w:tc>
          <w:tcPr>
            <w:tcW w:type="dxa" w:w="4680"/>
            <w:tcMar>
              <w:top w:w="100" w:type="dxa"/>
              <w:bottom w:w="100" w:type="dxa"/>
              <w:left w:w="140" w:type="dxa"/>
              <w:right w:w="140" w:type="dxa"/>
            </w:tcMar>
            <w:shd w:fill="F9F9F9"/>
          </w:tcPr>
          <w:p>
            <w:pPr>
              <w:jc w:val="left"/>
            </w:pPr>
            <w:r>
              <w:rPr>
                <w:rFonts w:ascii="Times New Roman" w:hAnsi="Times New Roman"/>
                <w:b/>
                <w:color w:val="000000"/>
                <w:sz w:val="21"/>
              </w:rPr>
              <w:t>9. Screenshots:</w:t>
            </w:r>
          </w:p>
        </w:tc>
        <w:tc>
          <w:tcPr>
            <w:tcW w:type="dxa" w:w="4680"/>
            <w:tcMar>
              <w:top w:w="100" w:type="dxa"/>
              <w:bottom w:w="100" w:type="dxa"/>
              <w:left w:w="140" w:type="dxa"/>
              <w:right w:w="140" w:type="dxa"/>
            </w:tcMar>
            <w:shd w:fill="F9F9F9"/>
          </w:tcPr>
          <w:p>
            <w:pPr>
              <w:jc w:val="left"/>
            </w:pPr>
            <w:r>
              <w:rPr>
                <w:rFonts w:ascii="Times New Roman" w:hAnsi="Times New Roman"/>
                <w:color w:val="000000"/>
                <w:sz w:val="21"/>
              </w:rPr>
              <w:t>Sequential live execution proofs across 3 production scenarios on AWS ap-south-1 (Figures 2 through 31).</w:t>
            </w:r>
          </w:p>
        </w:tc>
      </w:tr>
      <w:tr>
        <w:tc>
          <w:tcPr>
            <w:tcW w:type="dxa" w:w="4680"/>
            <w:tcMar>
              <w:top w:w="100" w:type="dxa"/>
              <w:bottom w:w="100" w:type="dxa"/>
              <w:left w:w="140" w:type="dxa"/>
              <w:right w:w="140" w:type="dxa"/>
            </w:tcMar>
            <w:shd w:fill="FFFFFF"/>
          </w:tcPr>
          <w:p>
            <w:pPr>
              <w:jc w:val="left"/>
            </w:pPr>
            <w:r>
              <w:rPr>
                <w:rFonts w:ascii="Times New Roman" w:hAnsi="Times New Roman"/>
                <w:b/>
                <w:color w:val="000000"/>
                <w:sz w:val="21"/>
              </w:rPr>
              <w:t>10. Results:</w:t>
            </w:r>
          </w:p>
        </w:tc>
        <w:tc>
          <w:tcPr>
            <w:tcW w:type="dxa" w:w="4680"/>
            <w:tcMar>
              <w:top w:w="100" w:type="dxa"/>
              <w:bottom w:w="100" w:type="dxa"/>
              <w:left w:w="140" w:type="dxa"/>
              <w:right w:w="140" w:type="dxa"/>
            </w:tcMar>
            <w:shd w:fill="FFFFFF"/>
          </w:tcPr>
          <w:p>
            <w:pPr>
              <w:jc w:val="left"/>
            </w:pPr>
            <w:r>
              <w:rPr>
                <w:rFonts w:ascii="Times New Roman" w:hAnsi="Times New Roman"/>
                <w:color w:val="000000"/>
                <w:sz w:val="21"/>
              </w:rPr>
              <w:t>Algorithmic benchmarks on Stanford SNAP data (Table 2, Figure 32), live AWS validation (Table 3), and Free Tier cost analysis.</w:t>
            </w:r>
          </w:p>
        </w:tc>
      </w:tr>
      <w:tr>
        <w:tc>
          <w:tcPr>
            <w:tcW w:type="dxa" w:w="4680"/>
            <w:tcMar>
              <w:top w:w="100" w:type="dxa"/>
              <w:bottom w:w="100" w:type="dxa"/>
              <w:left w:w="140" w:type="dxa"/>
              <w:right w:w="140" w:type="dxa"/>
            </w:tcMar>
            <w:shd w:fill="F9F9F9"/>
          </w:tcPr>
          <w:p>
            <w:pPr>
              <w:jc w:val="left"/>
            </w:pPr>
            <w:r>
              <w:rPr>
                <w:rFonts w:ascii="Times New Roman" w:hAnsi="Times New Roman"/>
                <w:b/>
                <w:color w:val="000000"/>
                <w:sz w:val="21"/>
              </w:rPr>
              <w:t>11. Conclusion:</w:t>
            </w:r>
          </w:p>
        </w:tc>
        <w:tc>
          <w:tcPr>
            <w:tcW w:type="dxa" w:w="4680"/>
            <w:tcMar>
              <w:top w:w="100" w:type="dxa"/>
              <w:bottom w:w="100" w:type="dxa"/>
              <w:left w:w="140" w:type="dxa"/>
              <w:right w:w="140" w:type="dxa"/>
            </w:tcMar>
            <w:shd w:fill="F9F9F9"/>
          </w:tcPr>
          <w:p>
            <w:pPr>
              <w:jc w:val="left"/>
            </w:pPr>
            <w:r>
              <w:rPr>
                <w:rFonts w:ascii="Times New Roman" w:hAnsi="Times New Roman"/>
                <w:color w:val="000000"/>
                <w:sz w:val="21"/>
              </w:rPr>
              <w:t>Summary of research outcomes, operational guarantees, limitations, and future research directions.</w:t>
            </w:r>
          </w:p>
        </w:tc>
      </w:tr>
      <w:tr>
        <w:tc>
          <w:tcPr>
            <w:tcW w:type="dxa" w:w="4680"/>
            <w:tcMar>
              <w:top w:w="100" w:type="dxa"/>
              <w:bottom w:w="100" w:type="dxa"/>
              <w:left w:w="140" w:type="dxa"/>
              <w:right w:w="140" w:type="dxa"/>
            </w:tcMar>
            <w:shd w:fill="FFFFFF"/>
          </w:tcPr>
          <w:p>
            <w:pPr>
              <w:jc w:val="left"/>
            </w:pPr>
            <w:r>
              <w:rPr>
                <w:rFonts w:ascii="Times New Roman" w:hAnsi="Times New Roman"/>
                <w:b/>
                <w:color w:val="000000"/>
                <w:sz w:val="21"/>
              </w:rPr>
              <w:t>12. References (with DOI or weblink):</w:t>
            </w:r>
          </w:p>
        </w:tc>
        <w:tc>
          <w:tcPr>
            <w:tcW w:type="dxa" w:w="4680"/>
            <w:tcMar>
              <w:top w:w="100" w:type="dxa"/>
              <w:bottom w:w="100" w:type="dxa"/>
              <w:left w:w="140" w:type="dxa"/>
              <w:right w:w="140" w:type="dxa"/>
            </w:tcMar>
            <w:shd w:fill="FFFFFF"/>
          </w:tcPr>
          <w:p>
            <w:pPr>
              <w:jc w:val="left"/>
            </w:pPr>
            <w:r>
              <w:rPr>
                <w:rFonts w:ascii="Times New Roman" w:hAnsi="Times New Roman"/>
                <w:color w:val="000000"/>
                <w:sz w:val="21"/>
              </w:rPr>
              <w:t>30 formally formatted academic and engineering citations with active DOIs and web links.</w:t>
            </w:r>
          </w:p>
        </w:tc>
      </w:tr>
      <w:tr>
        <w:tc>
          <w:tcPr>
            <w:tcW w:type="dxa" w:w="4680"/>
            <w:tcMar>
              <w:top w:w="100" w:type="dxa"/>
              <w:bottom w:w="100" w:type="dxa"/>
              <w:left w:w="140" w:type="dxa"/>
              <w:right w:w="140" w:type="dxa"/>
            </w:tcMar>
            <w:shd w:fill="F9F9F9"/>
          </w:tcPr>
          <w:p>
            <w:pPr>
              <w:jc w:val="left"/>
            </w:pPr>
            <w:r>
              <w:rPr>
                <w:rFonts w:ascii="Times New Roman" w:hAnsi="Times New Roman"/>
                <w:b/>
                <w:color w:val="000000"/>
                <w:sz w:val="21"/>
              </w:rPr>
              <w:t>13. Appendix: Research Paper link:</w:t>
            </w:r>
          </w:p>
        </w:tc>
        <w:tc>
          <w:tcPr>
            <w:tcW w:type="dxa" w:w="4680"/>
            <w:tcMar>
              <w:top w:w="100" w:type="dxa"/>
              <w:bottom w:w="100" w:type="dxa"/>
              <w:left w:w="140" w:type="dxa"/>
              <w:right w:w="140" w:type="dxa"/>
            </w:tcMar>
            <w:shd w:fill="F9F9F9"/>
          </w:tcPr>
          <w:p>
            <w:pPr>
              <w:jc w:val="left"/>
            </w:pPr>
            <w:r>
              <w:rPr>
                <w:rFonts w:ascii="Times New Roman" w:hAnsi="Times New Roman"/>
                <w:color w:val="000000"/>
                <w:sz w:val="21"/>
              </w:rPr>
              <w:t>Links to complete research papers, supplementary Word document, and 170 automated test suite breakdown.</w:t>
            </w:r>
          </w:p>
        </w:tc>
      </w:tr>
    </w:tbl>
    <w:p>
      <w:r>
        <w:br w:type="page"/>
      </w:r>
    </w:p>
    <w:p>
      <w:pPr>
        <w:keepNext/>
        <w:spacing w:before="360" w:after="120"/>
      </w:pPr>
      <w:r>
        <w:rPr>
          <w:rFonts w:ascii="Times New Roman" w:hAnsi="Times New Roman"/>
          <w:b/>
          <w:color w:val="000000"/>
          <w:sz w:val="32"/>
        </w:rPr>
        <w:t>1. Title</w:t>
      </w:r>
    </w:p>
    <w:p>
      <w:pPr>
        <w:spacing w:after="120" w:line="276" w:lineRule="auto"/>
        <w:jc w:val="both"/>
      </w:pPr>
      <w:r>
        <w:rPr>
          <w:rFonts w:ascii="Times New Roman" w:hAnsi="Times New Roman"/>
          <w:b/>
          <w:color w:val="000000"/>
          <w:sz w:val="24"/>
        </w:rPr>
        <w:t xml:space="preserve">Project Title: </w:t>
      </w:r>
      <w:r>
        <w:rPr>
          <w:rFonts w:ascii="Times New Roman" w:hAnsi="Times New Roman"/>
          <w:color w:val="000000"/>
          <w:sz w:val="24"/>
        </w:rPr>
        <w:t>ClearPay: Liquidity-Aware, Fault-Tolerant Payment Clearing and Settlement on AWS Serverless</w:t>
      </w:r>
    </w:p>
    <w:p>
      <w:pPr>
        <w:keepNext/>
        <w:spacing w:before="360" w:after="120"/>
      </w:pPr>
      <w:r>
        <w:rPr>
          <w:rFonts w:ascii="Times New Roman" w:hAnsi="Times New Roman"/>
          <w:b/>
          <w:color w:val="000000"/>
          <w:sz w:val="32"/>
        </w:rPr>
        <w:t>2. Abstract</w:t>
      </w:r>
    </w:p>
    <w:p>
      <w:pPr>
        <w:spacing w:after="120" w:line="276" w:lineRule="auto"/>
        <w:jc w:val="both"/>
      </w:pPr>
      <w:r>
        <w:rPr>
          <w:rFonts w:ascii="Times New Roman" w:hAnsi="Times New Roman"/>
          <w:color w:val="000000"/>
          <w:sz w:val="24"/>
        </w:rPr>
        <w:t>Modern interbank financial systems process millions of payment transactions daily through high-value Real-Time Gross Settlement (RTGS) networks and scheduled multilateral netting batches. In conventional settlement designs, batch multilateral netting enforces an all-or-nothing execution rule: if even a single participating financial institution lacks the liquidity deposit to back its net debit obligation, the entire batch is halted and aborted. This structural vulnerability leads to systemic gridlock, cascades liquidity friction across unaffected banks, and delays counterparty settlements. Furthermore, circular payment chains (where Bank A pays Bank B, Bank B pays Bank C, and Bank C pays Bank A) deadlock under conventional heuristics because each payment appears individually infeasible when judged in isolation, despite netting to zero net debit in aggregate. In addition, distributed cloud execution during network partitions or compute retries introduces the severe operational risk of duplicate debits on the ledger.</w:t>
      </w:r>
    </w:p>
    <w:p>
      <w:pPr>
        <w:spacing w:after="120" w:line="276" w:lineRule="auto"/>
        <w:jc w:val="both"/>
      </w:pPr>
      <w:r>
        <w:rPr>
          <w:rFonts w:ascii="Times New Roman" w:hAnsi="Times New Roman"/>
          <w:color w:val="000000"/>
          <w:sz w:val="24"/>
        </w:rPr>
        <w:t>To resolve these foundational vulnerabilities, this project presents ClearPay, a production-grade, fault-tolerant, liquidity-aware payment clearing and settlement engine engineered entirely on Amazon Web Services (AWS) serverless architecture. ClearPay couples event-driven microservices—implemented using AWS Lambda (Python 3.12, arm64 Graviton architecture), Amazon API Gateway HTTP API, Amazon DynamoDB, Amazon Simple Queue Service (SQS) with Dead-Letter Queues (DLQ), Amazon S3, and AWS Step Functions state machines—with five rigorous settlement optimization algorithms: All-or-Nothing baseline, Greedy Cumulative baseline, Removal Heuristic (RH) baseline, and two novel contributions: Bounded-Cycle Gridlock Repair (BCGR) and Topology Hub-Spoke Clearing (HSC).</w:t>
      </w:r>
    </w:p>
    <w:p>
      <w:pPr>
        <w:spacing w:after="120" w:line="276" w:lineRule="auto"/>
        <w:jc w:val="both"/>
      </w:pPr>
      <w:r>
        <w:rPr>
          <w:rFonts w:ascii="Times New Roman" w:hAnsi="Times New Roman"/>
          <w:color w:val="000000"/>
          <w:sz w:val="24"/>
        </w:rPr>
        <w:t>ClearPay freezes every approved settlement plan with an immutable SHA-256 cryptographic hash and writes ledger entries using deterministic composite primary keys, ensuring strict idempotency and zero double-debit risk during cloud retries. Automated ledger-to-bank statement reconciliation is achieved through an event-driven S3 Lambda that instantaneously detects duplicate entries, amount mismatches, and counterparty omissions. Validated on real-world transaction graphs from the Stanford Network Analysis Project (SNAP)—including the Bitcoin OTC network (5,881 traders, 35,592 edges), Bitcoin Alpha network (3,783 traders, 24,186 edges), and Ethereum Stablecoin ERC-20 transfer network ($1.03B gross volume across USDT, USDC, and DAI)—under extreme liquidity stress (alpha = 0.10), All-or-Nothing completely deadlocked (clearing 0 payments, 0.0% value), while RH cleared 233 payments and BCGR cleared 236 payments (62.3% value) in just 27.5 milliseconds. ClearPay was deployed in AWS Asia Pacific (Mumbai, ap-south-1) and comprehensively verified through an interactive Streamlit operator dashboard across three production scenarios: normal settlement, insufficient liquidity protection, and circular gridlock release. All 170 automated test suites pass, zero balance overdrafts occur, and the deployment incurs $0.00 cloud cost, operating entirely within the AWS Free Tier.</w:t>
      </w:r>
    </w:p>
    <w:p>
      <w:pPr>
        <w:keepNext/>
        <w:spacing w:before="360" w:after="120"/>
      </w:pPr>
      <w:r>
        <w:rPr>
          <w:rFonts w:ascii="Times New Roman" w:hAnsi="Times New Roman"/>
          <w:b/>
          <w:color w:val="000000"/>
          <w:sz w:val="32"/>
        </w:rPr>
        <w:t>3. Problem statement:</w:t>
      </w:r>
    </w:p>
    <w:p>
      <w:pPr>
        <w:spacing w:after="120" w:line="276" w:lineRule="auto"/>
        <w:jc w:val="both"/>
      </w:pPr>
      <w:r>
        <w:rPr>
          <w:rFonts w:ascii="Times New Roman" w:hAnsi="Times New Roman"/>
          <w:color w:val="000000"/>
          <w:sz w:val="24"/>
        </w:rPr>
        <w:t>Interbank clearinghouses and central banking infrastructures face critical computational and architectural bottlenecks in processing high-throughput payment batches under tight intraday liquidity constraints. Specifically, standard clearing engines suffer from four systemic points of failure:</w:t>
      </w:r>
    </w:p>
    <w:p>
      <w:pPr>
        <w:pStyle w:val="ListBullet"/>
        <w:spacing w:after="80" w:line="276" w:lineRule="auto"/>
        <w:jc w:val="both"/>
      </w:pPr>
      <w:r>
        <w:rPr>
          <w:rFonts w:ascii="Times New Roman" w:hAnsi="Times New Roman"/>
          <w:b/>
          <w:color w:val="000000"/>
          <w:sz w:val="24"/>
        </w:rPr>
        <w:t xml:space="preserve">3.1 The All-or-Nothing Batch Netting Dilemma: </w:t>
      </w:r>
      <w:r>
        <w:rPr>
          <w:rFonts w:ascii="Times New Roman" w:hAnsi="Times New Roman"/>
          <w:color w:val="000000"/>
          <w:sz w:val="24"/>
        </w:rPr>
        <w:t xml:space="preserve"> Conventional multilateral netting schemes operate on an all-or-nothing policy. If any single bank experiences a liquidity shortfall (e.g., Bank A owes INR 100 but possesses only INR 10 in central clearing deposits), the entire batch must be deferred. Consequently, hundreds of completely solvent banks with offsetting claims are penalized and blocked. On real-world financial transaction data, all-or-nothing netting settles 0.0% of the total transaction value under tight liquidity conditions.</w:t>
      </w:r>
    </w:p>
    <w:p>
      <w:pPr>
        <w:pStyle w:val="ListBullet"/>
        <w:spacing w:after="80" w:line="276" w:lineRule="auto"/>
        <w:jc w:val="both"/>
      </w:pPr>
      <w:r>
        <w:rPr>
          <w:rFonts w:ascii="Times New Roman" w:hAnsi="Times New Roman"/>
          <w:b/>
          <w:color w:val="000000"/>
          <w:sz w:val="24"/>
        </w:rPr>
        <w:t xml:space="preserve">3.2 Circular Dependency Deadlocks in Interbank Obligations: </w:t>
      </w:r>
      <w:r>
        <w:rPr>
          <w:rFonts w:ascii="Times New Roman" w:hAnsi="Times New Roman"/>
          <w:color w:val="000000"/>
          <w:sz w:val="24"/>
        </w:rPr>
        <w:t xml:space="preserve"> In heavy financial networks, transactions frequently form circular dependency cycles (e.g., Bank A owes Bank B INR 1,120, Bank B owes Bank C INR 1,120, and Bank C owes Bank A INR 1,120). The net cash required to settle this entire cycle is exactly zero. However, because each bank’s standalone balance is lower than INR 1,120, conventional greedy or single-pass clearing engines judge every leg of the cycle as infeasible and reject all three payments, causing unnecessary payment gridlock.</w:t>
      </w:r>
    </w:p>
    <w:p>
      <w:pPr>
        <w:pStyle w:val="ListBullet"/>
        <w:spacing w:after="80" w:line="276" w:lineRule="auto"/>
        <w:jc w:val="both"/>
      </w:pPr>
      <w:r>
        <w:rPr>
          <w:rFonts w:ascii="Times New Roman" w:hAnsi="Times New Roman"/>
          <w:b/>
          <w:color w:val="000000"/>
          <w:sz w:val="24"/>
        </w:rPr>
        <w:t xml:space="preserve">3.3 Myopic Heuristic Degradation &amp; Suboptimality: </w:t>
      </w:r>
      <w:r>
        <w:rPr>
          <w:rFonts w:ascii="Times New Roman" w:hAnsi="Times New Roman"/>
          <w:color w:val="000000"/>
          <w:sz w:val="24"/>
        </w:rPr>
        <w:t xml:space="preserve"> Order-dependent greedy heuristic algorithms settle payments sequentially based on queue arrival or gross amount. Under constrained liquidity, greedy admission settles only 16.8% of value because early large payments prematurely exhaust deposits. Although the removal heuristic performs better (settling 60.2%), it lacks graph-topological awareness and is incapable of extracting and executing circular credit cycles.</w:t>
      </w:r>
    </w:p>
    <w:p>
      <w:pPr>
        <w:pStyle w:val="ListBullet"/>
        <w:spacing w:after="80" w:line="276" w:lineRule="auto"/>
        <w:jc w:val="both"/>
      </w:pPr>
      <w:r>
        <w:rPr>
          <w:rFonts w:ascii="Times New Roman" w:hAnsi="Times New Roman"/>
          <w:b/>
          <w:color w:val="000000"/>
          <w:sz w:val="24"/>
        </w:rPr>
        <w:t xml:space="preserve">3.4 Distributed Cloud Execution Hazards and Reconciliation Bottlenecks: </w:t>
      </w:r>
      <w:r>
        <w:rPr>
          <w:rFonts w:ascii="Times New Roman" w:hAnsi="Times New Roman"/>
          <w:color w:val="000000"/>
          <w:sz w:val="24"/>
        </w:rPr>
        <w:t xml:space="preserve"> In modern distributed cloud environments, transient network failures, step timeouts, and Lambda retries create the hazard of double-debiting bank accounts. If a settlement transaction fails midway, retrying without deterministic idempotency keys can debit an account twice or corrupt financial balances. Furthermore, manual reconciliation between clearing ledgers and external bank statements remains slow, error-prone, and labor-intensive.</w:t>
      </w:r>
    </w:p>
    <w:p>
      <w:pPr>
        <w:spacing w:after="120" w:line="276" w:lineRule="auto"/>
        <w:jc w:val="both"/>
      </w:pPr>
      <w:r>
        <w:rPr>
          <w:rFonts w:ascii="Times New Roman" w:hAnsi="Times New Roman"/>
          <w:color w:val="000000"/>
          <w:sz w:val="24"/>
        </w:rPr>
        <w:t>The clear research and engineering gap addressed by ClearPay is the absence of an ultra-lightweight, serverless-native payment clearing engine that dynamically selects the maximal feasible subset of payments, automatically repairs circular deadlocks without extra cash injections, guarantees mathematical balance conservation, and enforces idempotent fault tolerance across transient cloud failures.</w:t>
      </w:r>
    </w:p>
    <w:p>
      <w:pPr>
        <w:keepNext/>
        <w:spacing w:before="360" w:after="120"/>
      </w:pPr>
      <w:r>
        <w:rPr>
          <w:rFonts w:ascii="Times New Roman" w:hAnsi="Times New Roman"/>
          <w:b/>
          <w:color w:val="000000"/>
          <w:sz w:val="32"/>
        </w:rPr>
        <w:t>4. Highlights of your project/Novelty:</w:t>
      </w:r>
    </w:p>
    <w:p>
      <w:pPr>
        <w:spacing w:after="120" w:line="276" w:lineRule="auto"/>
        <w:jc w:val="both"/>
      </w:pPr>
      <w:r>
        <w:rPr>
          <w:rFonts w:ascii="Times New Roman" w:hAnsi="Times New Roman"/>
          <w:color w:val="000000"/>
          <w:sz w:val="24"/>
        </w:rPr>
        <w:t>The ClearPay system introduces fundamental architectural and algorithmic innovations over legacy clearing systems:</w:t>
      </w:r>
    </w:p>
    <w:p>
      <w:pPr>
        <w:pStyle w:val="ListBullet"/>
        <w:spacing w:after="80" w:line="276" w:lineRule="auto"/>
        <w:jc w:val="both"/>
      </w:pPr>
      <w:r>
        <w:rPr>
          <w:rFonts w:ascii="Times New Roman" w:hAnsi="Times New Roman"/>
          <w:b/>
          <w:color w:val="000000"/>
          <w:sz w:val="24"/>
        </w:rPr>
        <w:t xml:space="preserve">4.1 Liquidity-Aware Partial Settlement Engine: </w:t>
      </w:r>
      <w:r>
        <w:rPr>
          <w:rFonts w:ascii="Times New Roman" w:hAnsi="Times New Roman"/>
          <w:color w:val="000000"/>
          <w:sz w:val="24"/>
        </w:rPr>
        <w:t xml:space="preserve"> Unlike conventional batch netting that aborts completely when a bank falls short, ClearPay implements a remove-and-add-back heuristic that extracts the largest mathematically feasible subset of payments within each bank’s available deposit balance, allowing solvent obligations to settle immediately.</w:t>
      </w:r>
    </w:p>
    <w:p>
      <w:pPr>
        <w:pStyle w:val="ListBullet"/>
        <w:spacing w:after="80" w:line="276" w:lineRule="auto"/>
        <w:jc w:val="both"/>
      </w:pPr>
      <w:r>
        <w:rPr>
          <w:rFonts w:ascii="Times New Roman" w:hAnsi="Times New Roman"/>
          <w:b/>
          <w:color w:val="000000"/>
          <w:sz w:val="24"/>
        </w:rPr>
        <w:t xml:space="preserve">4.2 Bounded-Cycle Gridlock Repair (BCGR - Novel Contribution): </w:t>
      </w:r>
      <w:r>
        <w:rPr>
          <w:rFonts w:ascii="Times New Roman" w:hAnsi="Times New Roman"/>
          <w:color w:val="000000"/>
          <w:sz w:val="24"/>
        </w:rPr>
        <w:t xml:space="preserve"> ClearPay implements a novel cycle-detection and resolution pass that analyzes the set of deferred/rejected payments, identifies closed credit loops (2-bank bilateral cycles and 3-bank multilateral triangles), and clears them atomically with zero additional cash requirement. On the Bitcoin OTC network under tight liquidity, BCGR rescued 3 additional payments (+2.1 percentage points of settled value) and executed faster (27.5 ms vs 29.7 ms) than standard removal heuristics.</w:t>
      </w:r>
    </w:p>
    <w:p>
      <w:pPr>
        <w:pStyle w:val="ListBullet"/>
        <w:spacing w:after="80" w:line="276" w:lineRule="auto"/>
        <w:jc w:val="both"/>
      </w:pPr>
      <w:r>
        <w:rPr>
          <w:rFonts w:ascii="Times New Roman" w:hAnsi="Times New Roman"/>
          <w:b/>
          <w:color w:val="000000"/>
          <w:sz w:val="24"/>
        </w:rPr>
        <w:t xml:space="preserve">4.3 Topology-Aware Hub-Spoke Clearing (HSC - Novel Contribution): </w:t>
      </w:r>
      <w:r>
        <w:rPr>
          <w:rFonts w:ascii="Times New Roman" w:hAnsi="Times New Roman"/>
          <w:color w:val="000000"/>
          <w:sz w:val="24"/>
        </w:rPr>
        <w:t xml:space="preserve"> ClearPay introduces an adaptive k-core graph decomposition algorithm with automatic elbow detection to partition the interbank transaction network into high-degree core hub banks and peripheral spoke banks. Clearing hub-to-hub payment volume in an isolated fast-path stage executes in only 4.12 ms, making it an ideal pre-processing filter for high-frequency clearing windows.</w:t>
      </w:r>
    </w:p>
    <w:p>
      <w:pPr>
        <w:pStyle w:val="ListBullet"/>
        <w:spacing w:after="80" w:line="276" w:lineRule="auto"/>
        <w:jc w:val="both"/>
      </w:pPr>
      <w:r>
        <w:rPr>
          <w:rFonts w:ascii="Times New Roman" w:hAnsi="Times New Roman"/>
          <w:b/>
          <w:color w:val="000000"/>
          <w:sz w:val="24"/>
        </w:rPr>
        <w:t xml:space="preserve">4.4 Starvation-Free Aging Priority Multi-Objective Optimization: </w:t>
      </w:r>
      <w:r>
        <w:rPr>
          <w:rFonts w:ascii="Times New Roman" w:hAnsi="Times New Roman"/>
          <w:color w:val="000000"/>
          <w:sz w:val="24"/>
        </w:rPr>
        <w:t xml:space="preserve"> To prevent smaller community banks or low-value payments from being chronically starved by high-volume institutions, ClearPay introduces a multi-objective dynamic utility function U(p) = w(p) * (1 + lambda * deferral_count). Every deferred payment gains escalating priority weight across subsequent windows, guaranteeing starvation-free fairness.</w:t>
      </w:r>
    </w:p>
    <w:p>
      <w:pPr>
        <w:pStyle w:val="ListBullet"/>
        <w:spacing w:after="80" w:line="276" w:lineRule="auto"/>
        <w:jc w:val="both"/>
      </w:pPr>
      <w:r>
        <w:rPr>
          <w:rFonts w:ascii="Times New Roman" w:hAnsi="Times New Roman"/>
          <w:b/>
          <w:color w:val="000000"/>
          <w:sz w:val="24"/>
        </w:rPr>
        <w:t xml:space="preserve">4.5 Double-Debit Immune Settlement and Deterministic Ledger Keys: </w:t>
      </w:r>
      <w:r>
        <w:rPr>
          <w:rFonts w:ascii="Times New Roman" w:hAnsi="Times New Roman"/>
          <w:color w:val="000000"/>
          <w:sz w:val="24"/>
        </w:rPr>
        <w:t xml:space="preserve"> Every calculated settlement plan is cryptographically fingerprinted using a SHA-256 hash and stored in Amazon S3 as an immutable record. All DynamoDB double-entry ledger rows use deterministic composite primary keys (window_id#payment_id#D/C), and payment_id serves as an idempotency token. Any AWS Step Functions retry executes safely without duplicate ledger postings.</w:t>
      </w:r>
    </w:p>
    <w:p>
      <w:pPr>
        <w:pStyle w:val="ListBullet"/>
        <w:spacing w:after="80" w:line="276" w:lineRule="auto"/>
        <w:jc w:val="both"/>
      </w:pPr>
      <w:r>
        <w:rPr>
          <w:rFonts w:ascii="Times New Roman" w:hAnsi="Times New Roman"/>
          <w:b/>
          <w:color w:val="000000"/>
          <w:sz w:val="24"/>
        </w:rPr>
        <w:t xml:space="preserve">4.6 Event-Driven Automated Three-Way Cloud Reconciliation: </w:t>
      </w:r>
      <w:r>
        <w:rPr>
          <w:rFonts w:ascii="Times New Roman" w:hAnsi="Times New Roman"/>
          <w:color w:val="000000"/>
          <w:sz w:val="24"/>
        </w:rPr>
        <w:t xml:space="preserve"> ClearPay deploys an automated reconciliation Lambda function connected to S3 object-creation events. Uploading external bank statements triggers an automated three-way audit that flags duplicate debits, transaction value discrepancies, and un-netted obligations. Testing with intentionally injected anomalies confirmed 100% anomaly detection.</w:t>
      </w:r>
    </w:p>
    <w:p>
      <w:pPr>
        <w:pStyle w:val="ListBullet"/>
        <w:spacing w:after="80" w:line="276" w:lineRule="auto"/>
        <w:jc w:val="both"/>
      </w:pPr>
      <w:r>
        <w:rPr>
          <w:rFonts w:ascii="Times New Roman" w:hAnsi="Times New Roman"/>
          <w:b/>
          <w:color w:val="000000"/>
          <w:sz w:val="24"/>
        </w:rPr>
        <w:t xml:space="preserve">4.7 Dual-Mode Operational Engine (Real-Time + Scheduled Batch): </w:t>
      </w:r>
      <w:r>
        <w:rPr>
          <w:rFonts w:ascii="Times New Roman" w:hAnsi="Times New Roman"/>
          <w:color w:val="000000"/>
          <w:sz w:val="24"/>
        </w:rPr>
        <w:t xml:space="preserve"> Supports both real-time individual payment posting via Amazon SQS with DLQ isolation (Mode 0) and scheduled batch multilateral netting via AWS Step Functions (Mode 1), catering to both retail micro-transfers and wholesale interbank clearing.</w:t>
      </w:r>
    </w:p>
    <w:p>
      <w:pPr>
        <w:pStyle w:val="ListBullet"/>
        <w:spacing w:after="80" w:line="276" w:lineRule="auto"/>
        <w:jc w:val="both"/>
      </w:pPr>
      <w:r>
        <w:rPr>
          <w:rFonts w:ascii="Times New Roman" w:hAnsi="Times New Roman"/>
          <w:b/>
          <w:color w:val="000000"/>
          <w:sz w:val="24"/>
        </w:rPr>
        <w:t xml:space="preserve">4.8 100% Real-World Dataset Validation (Zero Synthetic Data): </w:t>
      </w:r>
      <w:r>
        <w:rPr>
          <w:rFonts w:ascii="Times New Roman" w:hAnsi="Times New Roman"/>
          <w:color w:val="000000"/>
          <w:sz w:val="24"/>
        </w:rPr>
        <w:t xml:space="preserve"> ClearPay was benchmarked exclusively on real-world transaction data from the Stanford Network Analysis Project (SNAP)—Bitcoin OTC, Bitcoin Alpha, and Ethereum Stablecoin ERC-20 transfers ($1.03 Billion gross volume)—without any artificial or synthetic assumptions.</w:t>
      </w:r>
    </w:p>
    <w:p>
      <w:pPr>
        <w:pStyle w:val="ListBullet"/>
        <w:spacing w:after="80" w:line="276" w:lineRule="auto"/>
        <w:jc w:val="both"/>
      </w:pPr>
      <w:r>
        <w:rPr>
          <w:rFonts w:ascii="Times New Roman" w:hAnsi="Times New Roman"/>
          <w:b/>
          <w:color w:val="000000"/>
          <w:sz w:val="24"/>
        </w:rPr>
        <w:t xml:space="preserve">4.9 Production AWS Serverless Deployment with Free Tier Compliance: </w:t>
      </w:r>
      <w:r>
        <w:rPr>
          <w:rFonts w:ascii="Times New Roman" w:hAnsi="Times New Roman"/>
          <w:color w:val="000000"/>
          <w:sz w:val="24"/>
        </w:rPr>
        <w:t xml:space="preserve"> Full production deployment in AWS Asia Pacific (Mumbai, ap-south-1) region using AWS SAM and CloudFormation. All services (Lambda, DynamoDB, API Gateway, SQS, S3, Step Functions) operate completely within the AWS Free Tier, achieving a projected ongoing operational cost of $0.00/month.</w:t>
      </w:r>
    </w:p>
    <w:p>
      <w:pPr>
        <w:pStyle w:val="ListBullet"/>
        <w:spacing w:after="80" w:line="276" w:lineRule="auto"/>
        <w:jc w:val="both"/>
      </w:pPr>
      <w:r>
        <w:rPr>
          <w:rFonts w:ascii="Times New Roman" w:hAnsi="Times New Roman"/>
          <w:b/>
          <w:color w:val="000000"/>
          <w:sz w:val="24"/>
        </w:rPr>
        <w:t xml:space="preserve">4.10 Exact Integer Arithmetic and 100% Test Coverage Suite: </w:t>
      </w:r>
      <w:r>
        <w:rPr>
          <w:rFonts w:ascii="Times New Roman" w:hAnsi="Times New Roman"/>
          <w:color w:val="000000"/>
          <w:sz w:val="24"/>
        </w:rPr>
        <w:t xml:space="preserve"> All financial amounts are processed as exact integer paise (1 INR = 100 paise) to eliminate IEEE 754 floating-point rounding errors. A comprehensive test harness of 170 automated test suites (with 66 core liquidity &amp; novel engine tests) guarantees 100% code coverage, zero balance overdrafts, and formal balance conservation across all nodes.</w:t>
      </w:r>
    </w:p>
    <w:p>
      <w:pPr>
        <w:keepNext/>
        <w:spacing w:before="360" w:after="120"/>
      </w:pPr>
      <w:r>
        <w:rPr>
          <w:rFonts w:ascii="Times New Roman" w:hAnsi="Times New Roman"/>
          <w:b/>
          <w:color w:val="000000"/>
          <w:sz w:val="32"/>
        </w:rPr>
        <w:t>5. Dataset Link:(create DOI in zenodo if you got your own Dataset)-citation (Team member names followed by faculty name)</w:t>
      </w:r>
    </w:p>
    <w:p>
      <w:pPr>
        <w:spacing w:after="120" w:line="276" w:lineRule="auto"/>
        <w:jc w:val="both"/>
      </w:pPr>
      <w:r>
        <w:rPr>
          <w:rFonts w:ascii="Times New Roman" w:hAnsi="Times New Roman"/>
          <w:color w:val="000000"/>
          <w:sz w:val="24"/>
        </w:rPr>
        <w:t>To guarantee empirical validity and simulate real-world financial liquidity dynamics, ClearPay was validated exclusively against large-scale public financial transaction datasets provided by the Stanford Network Analysis Project (SNAP) at Stanford University. Because this investigation leverages established, open-access research benchmark networks rather than proprietary newly collected data, no external Zenodo DOI was created. Complete dataset links, properties, ingestion procedures, and formal citations are detailed below.</w:t>
      </w:r>
    </w:p>
    <w:p>
      <w:pPr>
        <w:keepNext/>
        <w:spacing w:before="260" w:after="80"/>
      </w:pPr>
      <w:r>
        <w:rPr>
          <w:rFonts w:ascii="Times New Roman" w:hAnsi="Times New Roman"/>
          <w:b/>
          <w:color w:val="1E1E1E"/>
          <w:sz w:val="28"/>
        </w:rPr>
        <w:t>5.1 Stanford SNAP Financial Benchmark Datasets</w:t>
      </w:r>
    </w:p>
    <w:p>
      <w:pPr>
        <w:pStyle w:val="ListBullet"/>
        <w:spacing w:after="80" w:line="276" w:lineRule="auto"/>
        <w:jc w:val="both"/>
      </w:pPr>
      <w:r>
        <w:rPr>
          <w:rFonts w:ascii="Times New Roman" w:hAnsi="Times New Roman"/>
          <w:b/>
          <w:color w:val="000000"/>
          <w:sz w:val="24"/>
        </w:rPr>
        <w:t xml:space="preserve">• Stanford SNAP Bitcoin OTC Network: </w:t>
      </w:r>
      <w:r>
        <w:rPr>
          <w:rFonts w:ascii="Times New Roman" w:hAnsi="Times New Roman"/>
          <w:color w:val="000000"/>
          <w:sz w:val="24"/>
        </w:rPr>
        <w:t xml:space="preserve"> A weighted signed transaction and trust network among users trading on Bitcoin OTC. Contains 5,881 unique trader accounts and 35,592 directed transaction edges spanning from November 2010 to January 2016. Each record contains source node, target node, edge rating/weight, and POSIX epoch timestamp. Link: https://snap.stanford.edu/data/soc-sign-bitcoin-otc.html</w:t>
      </w:r>
    </w:p>
    <w:p>
      <w:pPr>
        <w:pStyle w:val="ListBullet"/>
        <w:spacing w:after="80" w:line="276" w:lineRule="auto"/>
        <w:jc w:val="both"/>
      </w:pPr>
      <w:r>
        <w:rPr>
          <w:rFonts w:ascii="Times New Roman" w:hAnsi="Times New Roman"/>
          <w:b/>
          <w:color w:val="000000"/>
          <w:sz w:val="24"/>
        </w:rPr>
        <w:t xml:space="preserve">• Stanford SNAP Bitcoin Alpha Network: </w:t>
      </w:r>
      <w:r>
        <w:rPr>
          <w:rFonts w:ascii="Times New Roman" w:hAnsi="Times New Roman"/>
          <w:color w:val="000000"/>
          <w:sz w:val="24"/>
        </w:rPr>
        <w:t xml:space="preserve"> A weighted signed transaction network from the Bitcoin Alpha trading exchange. Contains 3,783 verified trader accounts and 24,186 directed financial edges. Link: https://snap.stanford.edu/data/soc-sign-bitcoin-alpha.html</w:t>
      </w:r>
    </w:p>
    <w:p>
      <w:pPr>
        <w:pStyle w:val="ListBullet"/>
        <w:spacing w:after="80" w:line="276" w:lineRule="auto"/>
        <w:jc w:val="both"/>
      </w:pPr>
      <w:r>
        <w:rPr>
          <w:rFonts w:ascii="Times New Roman" w:hAnsi="Times New Roman"/>
          <w:b/>
          <w:color w:val="000000"/>
          <w:sz w:val="24"/>
        </w:rPr>
        <w:t xml:space="preserve">• Stanford SNAP Ethereum Stablecoin ERC-20 Transfer Network: </w:t>
      </w:r>
      <w:r>
        <w:rPr>
          <w:rFonts w:ascii="Times New Roman" w:hAnsi="Times New Roman"/>
          <w:color w:val="000000"/>
          <w:sz w:val="24"/>
        </w:rPr>
        <w:t xml:space="preserve"> High-value real-world smart contract transaction logs capturing token transfers for the top three decentralized stablecoins: Tether (USDT), USD Coin (USDC), and Dai (DAI). Encompasses 13,308 account addresses, 16,093 payment obligations, and over $1.03 Billion in gross transfer volume, accessed via the Stanford SNAP financial network collection. Link: https://snap.stanford.edu/data</w:t>
      </w:r>
    </w:p>
    <w:p>
      <w:pPr>
        <w:keepNext/>
        <w:spacing w:before="260" w:after="80"/>
      </w:pPr>
      <w:r>
        <w:rPr>
          <w:rFonts w:ascii="Times New Roman" w:hAnsi="Times New Roman"/>
          <w:b/>
          <w:color w:val="1E1E1E"/>
          <w:sz w:val="28"/>
        </w:rPr>
        <w:t>5.2 Dataset Ingestion &amp; Liquidity Formulation in ClearPay</w:t>
      </w:r>
    </w:p>
    <w:p>
      <w:pPr>
        <w:spacing w:after="120" w:line="276" w:lineRule="auto"/>
        <w:jc w:val="both"/>
      </w:pPr>
      <w:r>
        <w:rPr>
          <w:rFonts w:ascii="Times New Roman" w:hAnsi="Times New Roman"/>
          <w:color w:val="000000"/>
          <w:sz w:val="24"/>
        </w:rPr>
        <w:t>The project repository incorporates these datasets directly under the 'data set/' directory (including 'soc-sign-bitcoinotc.csv.gz' and 'soc-sign-bitcoinalpha.csv.gz'). The ingestion adapter module 'src/common/dataset_adapter.py' translates these raw graph edges into ClearPay's native JSON payment queue schema:</w:t>
      </w:r>
    </w:p>
    <w:p>
      <w:pPr>
        <w:pStyle w:val="ListBullet"/>
        <w:spacing w:after="80" w:line="276" w:lineRule="auto"/>
        <w:jc w:val="both"/>
      </w:pPr>
      <w:r>
        <w:rPr>
          <w:rFonts w:ascii="Times New Roman" w:hAnsi="Times New Roman"/>
          <w:b/>
          <w:color w:val="000000"/>
          <w:sz w:val="24"/>
        </w:rPr>
        <w:t xml:space="preserve">• Payment Normalization: </w:t>
      </w:r>
      <w:r>
        <w:rPr>
          <w:rFonts w:ascii="Times New Roman" w:hAnsi="Times New Roman"/>
          <w:color w:val="000000"/>
          <w:sz w:val="24"/>
        </w:rPr>
        <w:t xml:space="preserve"> Each directed edge (u -&gt; v with rating/weight w and timestamp t) is normalized to a valid payment order: payment_id = OTC-{source}-{target}-{timestamp}, from_account = BANK_{source}, to_account = BANK_{target}, amount_paise = int(abs(weight) * 10000), currency = 'INR', status = 'PENDING'.</w:t>
      </w:r>
    </w:p>
    <w:p>
      <w:pPr>
        <w:pStyle w:val="ListBullet"/>
        <w:spacing w:after="80" w:line="276" w:lineRule="auto"/>
        <w:jc w:val="both"/>
      </w:pPr>
      <w:r>
        <w:rPr>
          <w:rFonts w:ascii="Times New Roman" w:hAnsi="Times New Roman"/>
          <w:b/>
          <w:color w:val="000000"/>
          <w:sz w:val="24"/>
        </w:rPr>
        <w:t xml:space="preserve">• Liquidity Multiplier Formulation: </w:t>
      </w:r>
      <w:r>
        <w:rPr>
          <w:rFonts w:ascii="Times New Roman" w:hAnsi="Times New Roman"/>
          <w:color w:val="000000"/>
          <w:sz w:val="24"/>
        </w:rPr>
        <w:t xml:space="preserve"> To rigorously simulate tight liquidity stress in an interbank environment, the initial deposit balance of each participating bank is initialized as a fractional multiplier alpha of its gross outgoing payment obligations: Balance(i) = max(10000, int(alpha * sum(Amount(i -&gt; j)))). Setting alpha = 0.10 establishes an extreme liquidity stress scenario where total bank deposits equal only 10% of gross obligations, triggering severe settlement competition.</w:t>
      </w:r>
    </w:p>
    <w:p>
      <w:pPr>
        <w:keepNext/>
        <w:spacing w:before="260" w:after="80"/>
      </w:pPr>
      <w:r>
        <w:rPr>
          <w:rFonts w:ascii="Times New Roman" w:hAnsi="Times New Roman"/>
          <w:b/>
          <w:color w:val="1E1E1E"/>
          <w:sz w:val="28"/>
        </w:rPr>
        <w:t>5.3 Authentic Dataset Citation</w:t>
      </w:r>
    </w:p>
    <w:p>
      <w:pPr>
        <w:spacing w:after="120" w:line="276" w:lineRule="auto"/>
        <w:jc w:val="both"/>
      </w:pPr>
      <w:r>
        <w:rPr>
          <w:rFonts w:ascii="Times New Roman" w:hAnsi="Times New Roman"/>
          <w:b/>
          <w:color w:val="000000"/>
          <w:sz w:val="24"/>
        </w:rPr>
        <w:t xml:space="preserve">Dataset Attribution Note: </w:t>
      </w:r>
      <w:r>
        <w:rPr>
          <w:rFonts w:ascii="Times New Roman" w:hAnsi="Times New Roman"/>
          <w:color w:val="000000"/>
          <w:sz w:val="24"/>
        </w:rPr>
        <w:t>Because ClearPay evaluates performance on established open-access scientific benchmark networks created by Stanford University researchers rather than an internally generated dataset, external Zenodo DOI registration is not applicable. The official primary citations for the datasets used in this work are:</w:t>
      </w:r>
    </w:p>
    <w:p>
      <w:pPr>
        <w:pStyle w:val="ListBullet"/>
        <w:spacing w:after="80" w:line="276" w:lineRule="auto"/>
        <w:jc w:val="both"/>
      </w:pPr>
      <w:r>
        <w:rPr>
          <w:rFonts w:ascii="Times New Roman" w:hAnsi="Times New Roman"/>
          <w:b/>
          <w:color w:val="000000"/>
          <w:sz w:val="24"/>
        </w:rPr>
        <w:t xml:space="preserve">Primary Dataset Research Citation: </w:t>
      </w:r>
      <w:r>
        <w:rPr>
          <w:rFonts w:ascii="Times New Roman" w:hAnsi="Times New Roman"/>
          <w:color w:val="000000"/>
          <w:sz w:val="24"/>
        </w:rPr>
        <w:t xml:space="preserve"> S. Kumar, F. Spezzano, V. S. Subrahmanian, and C. Faloutsos, 'Edge weight prediction in weighted signed networks,' in 2016 IEEE 16th International Conference on Data Mining (ICDM), Barcelona, Spain, 2016, pp. 221-230. DOI: 10.1109/ICDM.2016.0033. (Official publication for the Stanford SNAP Bitcoin-OTC and Bitcoin-Alpha networks).</w:t>
      </w:r>
    </w:p>
    <w:p>
      <w:pPr>
        <w:pStyle w:val="ListBullet"/>
        <w:spacing w:after="80" w:line="276" w:lineRule="auto"/>
        <w:jc w:val="both"/>
      </w:pPr>
      <w:r>
        <w:rPr>
          <w:rFonts w:ascii="Times New Roman" w:hAnsi="Times New Roman"/>
          <w:b/>
          <w:color w:val="000000"/>
          <w:sz w:val="24"/>
        </w:rPr>
        <w:t xml:space="preserve">Dataset Repository Citation: </w:t>
      </w:r>
      <w:r>
        <w:rPr>
          <w:rFonts w:ascii="Times New Roman" w:hAnsi="Times New Roman"/>
          <w:color w:val="000000"/>
          <w:sz w:val="24"/>
        </w:rPr>
        <w:t xml:space="preserve"> J. Leskovec and A. Krevl, 'SNAP Datasets: Stanford Large Network Dataset Collection,' Stanford University, 2014. Available: https://snap.stanford.edu/data</w:t>
      </w:r>
    </w:p>
    <w:p>
      <w:pPr>
        <w:spacing w:after="120" w:line="276" w:lineRule="auto"/>
        <w:jc w:val="both"/>
      </w:pPr>
      <w:r>
        <w:rPr>
          <w:rFonts w:ascii="Times New Roman" w:hAnsi="Times New Roman"/>
          <w:b/>
          <w:color w:val="000000"/>
          <w:sz w:val="24"/>
        </w:rPr>
        <w:t xml:space="preserve">Project Experimental Evaluation: </w:t>
      </w:r>
      <w:r>
        <w:rPr>
          <w:rFonts w:ascii="Times New Roman" w:hAnsi="Times New Roman"/>
          <w:color w:val="000000"/>
          <w:sz w:val="24"/>
        </w:rPr>
        <w:t>Experimental data pipeline adaptation, liquidity stress parameterization (alpha = 0.10 to 1.20), and benchmark execution conducted by: Andrea A (24BCE1142), Viswanadham Venkata Mrinalini (24BCE1400), under the academic supervision of Dr. S. Vigneshwari (Faculty), School of Computer Science and Engineering, VIT Chennai.</w:t>
      </w:r>
    </w:p>
    <w:p>
      <w:pPr>
        <w:keepNext/>
        <w:spacing w:before="360" w:after="120"/>
      </w:pPr>
      <w:r>
        <w:rPr>
          <w:rFonts w:ascii="Times New Roman" w:hAnsi="Times New Roman"/>
          <w:b/>
          <w:color w:val="000000"/>
          <w:sz w:val="32"/>
        </w:rPr>
        <w:t>6. Project demo link:(if any)</w:t>
      </w:r>
    </w:p>
    <w:p>
      <w:pPr>
        <w:spacing w:after="120" w:line="276" w:lineRule="auto"/>
        <w:jc w:val="both"/>
      </w:pPr>
      <w:r>
        <w:rPr>
          <w:rFonts w:ascii="Times New Roman" w:hAnsi="Times New Roman"/>
          <w:color w:val="000000"/>
          <w:sz w:val="24"/>
        </w:rPr>
        <w:t>ClearPay features a fully integrated, interactive web-based operator dashboard built with Streamlit ('app.py') that connects directly to the live AWS Asia Pacific (Mumbai, ap-south-1) cloud environment.</w:t>
      </w:r>
    </w:p>
    <w:p>
      <w:pPr>
        <w:pStyle w:val="ListBullet"/>
        <w:spacing w:after="80" w:line="276" w:lineRule="auto"/>
        <w:jc w:val="both"/>
      </w:pPr>
      <w:r>
        <w:rPr>
          <w:rFonts w:ascii="Times New Roman" w:hAnsi="Times New Roman"/>
          <w:b/>
          <w:color w:val="000000"/>
          <w:sz w:val="24"/>
        </w:rPr>
        <w:t xml:space="preserve">6.1 Local Live Dashboard Host: </w:t>
      </w:r>
      <w:r>
        <w:rPr>
          <w:rFonts w:ascii="Times New Roman" w:hAnsi="Times New Roman"/>
          <w:color w:val="000000"/>
          <w:sz w:val="24"/>
        </w:rPr>
        <w:t xml:space="preserve"> The Streamlit dashboard can be launched locally in a single command using: 'streamlit run app.py'. The web application initializes at 'http://localhost:8503' and connects seamlessly to the live AWS cloud stack using AWS IAM credentials (configured via 'clearpay-andrea' AWS CLI profile).</w:t>
      </w:r>
    </w:p>
    <w:p>
      <w:pPr>
        <w:pStyle w:val="ListBullet"/>
        <w:spacing w:after="80" w:line="276" w:lineRule="auto"/>
        <w:jc w:val="both"/>
      </w:pPr>
      <w:r>
        <w:rPr>
          <w:rFonts w:ascii="Times New Roman" w:hAnsi="Times New Roman"/>
          <w:b/>
          <w:color w:val="000000"/>
          <w:sz w:val="24"/>
        </w:rPr>
        <w:t xml:space="preserve">6.2 Demonstration Video &amp; Hosted Guide: </w:t>
      </w:r>
      <w:r>
        <w:rPr>
          <w:rFonts w:ascii="Times New Roman" w:hAnsi="Times New Roman"/>
          <w:color w:val="000000"/>
          <w:sz w:val="24"/>
        </w:rPr>
        <w:t xml:space="preserve"> Project demonstration video walk-through and hosted dashboard documentation link: https://github.com/Mrinalini10/clearpay_novel_final/blob/main/docs/DEPLOYMENT.md (hosted web deployment available via Streamlit Community Cloud).</w:t>
      </w:r>
    </w:p>
    <w:p>
      <w:pPr>
        <w:pStyle w:val="ListBullet"/>
        <w:spacing w:after="80" w:line="276" w:lineRule="auto"/>
        <w:jc w:val="both"/>
      </w:pPr>
      <w:r>
        <w:rPr>
          <w:rFonts w:ascii="Times New Roman" w:hAnsi="Times New Roman"/>
          <w:b/>
          <w:color w:val="000000"/>
          <w:sz w:val="24"/>
        </w:rPr>
        <w:t xml:space="preserve">6.3 Complete Cloud Traceability: </w:t>
      </w:r>
      <w:r>
        <w:rPr>
          <w:rFonts w:ascii="Times New Roman" w:hAnsi="Times New Roman"/>
          <w:color w:val="000000"/>
          <w:sz w:val="24"/>
        </w:rPr>
        <w:t xml:space="preserve"> The entire execution sequence—spanning client preflight checks, batch payment submission to API Gateway, DynamoDB status transitions, Step Functions workflow execution, S3 plan verification, and balance conservation audits—is thoroughly documented with step-by-step visual proofs in the Screenshots section of this report.</w:t>
      </w:r>
    </w:p>
    <w:p>
      <w:pPr>
        <w:keepNext/>
        <w:spacing w:before="360" w:after="120"/>
      </w:pPr>
      <w:r>
        <w:rPr>
          <w:rFonts w:ascii="Times New Roman" w:hAnsi="Times New Roman"/>
          <w:b/>
          <w:color w:val="000000"/>
          <w:sz w:val="32"/>
        </w:rPr>
        <w:t>7. GitHub repository link: (with citation (Team member names followed by faculty name, Title of the project))</w:t>
      </w:r>
    </w:p>
    <w:p>
      <w:pPr>
        <w:spacing w:after="120" w:line="276" w:lineRule="auto"/>
        <w:jc w:val="both"/>
      </w:pPr>
      <w:r>
        <w:rPr>
          <w:rFonts w:ascii="Times New Roman" w:hAnsi="Times New Roman"/>
          <w:b/>
          <w:color w:val="000000"/>
          <w:sz w:val="24"/>
        </w:rPr>
        <w:t xml:space="preserve">Repository URL: </w:t>
      </w:r>
      <w:r>
        <w:rPr>
          <w:rFonts w:ascii="Times New Roman" w:hAnsi="Times New Roman"/>
          <w:color w:val="000000"/>
          <w:sz w:val="24"/>
        </w:rPr>
        <w:t>https://github.com/Mrinalini10/clearpay_novel_final</w:t>
      </w:r>
    </w:p>
    <w:p>
      <w:pPr>
        <w:spacing w:after="120" w:line="276" w:lineRule="auto"/>
        <w:jc w:val="both"/>
      </w:pPr>
      <w:r>
        <w:rPr>
          <w:rFonts w:ascii="Times New Roman" w:hAnsi="Times New Roman"/>
          <w:b/>
          <w:color w:val="000000"/>
          <w:sz w:val="24"/>
        </w:rPr>
        <w:t xml:space="preserve">Formal Citation: </w:t>
      </w:r>
      <w:r>
        <w:rPr>
          <w:rFonts w:ascii="Times New Roman" w:hAnsi="Times New Roman"/>
          <w:color w:val="000000"/>
          <w:sz w:val="24"/>
        </w:rPr>
        <w:t>Citation: Andrea A, Viswanadham Venkata Mrinalini, Dr. S. Vigneshwari, ClearPay: Liquidity-Aware, Fault-Tolerant Payment Clearing and Settlement on AWS Serverless, GitHub repository, 2026. Available: https://github.com/Mrinalini10/clearpay_novel_final</w:t>
      </w:r>
    </w:p>
    <w:p>
      <w:pPr>
        <w:spacing w:after="120" w:line="276" w:lineRule="auto"/>
        <w:jc w:val="both"/>
      </w:pPr>
      <w:r>
        <w:rPr>
          <w:rFonts w:ascii="Times New Roman" w:hAnsi="Times New Roman"/>
          <w:color w:val="000000"/>
          <w:sz w:val="24"/>
        </w:rPr>
        <w:t>The ClearPay repository is structured as a production-grade AWS serverless codebase containing complete source code, automated test harnesses, benchmark pipelines, and deployment templates:</w:t>
      </w:r>
    </w:p>
    <w:p>
      <w:pPr>
        <w:pStyle w:val="ListBullet"/>
        <w:spacing w:after="80" w:line="276" w:lineRule="auto"/>
        <w:jc w:val="both"/>
      </w:pPr>
      <w:r>
        <w:rPr>
          <w:rFonts w:ascii="Times New Roman" w:hAnsi="Times New Roman"/>
          <w:b/>
          <w:color w:val="000000"/>
          <w:sz w:val="24"/>
        </w:rPr>
        <w:t xml:space="preserve">• src/handlers/: </w:t>
      </w:r>
      <w:r>
        <w:rPr>
          <w:rFonts w:ascii="Times New Roman" w:hAnsi="Times New Roman"/>
          <w:color w:val="000000"/>
          <w:sz w:val="24"/>
        </w:rPr>
        <w:t xml:space="preserve"> Ingestion Lambda (ingest.py), payment status reader (get_payment.py), real-time ledger poster (poster.py), pending payment collector (collect.py), netting and liquidity optimizer (net.py), settlement committer (finalize.py), and automated reconciliation auditor (reconcile.py).</w:t>
      </w:r>
    </w:p>
    <w:p>
      <w:pPr>
        <w:pStyle w:val="ListBullet"/>
        <w:spacing w:after="80" w:line="276" w:lineRule="auto"/>
        <w:jc w:val="both"/>
      </w:pPr>
      <w:r>
        <w:rPr>
          <w:rFonts w:ascii="Times New Roman" w:hAnsi="Times New Roman"/>
          <w:b/>
          <w:color w:val="000000"/>
          <w:sz w:val="24"/>
        </w:rPr>
        <w:t xml:space="preserve">• src/common/: </w:t>
      </w:r>
      <w:r>
        <w:rPr>
          <w:rFonts w:ascii="Times New Roman" w:hAnsi="Times New Roman"/>
          <w:color w:val="000000"/>
          <w:sz w:val="24"/>
        </w:rPr>
        <w:t xml:space="preserve"> Core mathematical settlement algorithms including liquidity-aware removal heuristic (liquidity.py), novel BCGR and HSC algorithms (topology_liquidity.py), Stanford SNAP real-world dataset adapter (dataset_adapter.py), multilateral netting matrix engine (netting.py), three-way reconciliation (recon.py), and data validation utilities (validation.py).</w:t>
      </w:r>
    </w:p>
    <w:p>
      <w:pPr>
        <w:pStyle w:val="ListBullet"/>
        <w:spacing w:after="80" w:line="276" w:lineRule="auto"/>
        <w:jc w:val="both"/>
      </w:pPr>
      <w:r>
        <w:rPr>
          <w:rFonts w:ascii="Times New Roman" w:hAnsi="Times New Roman"/>
          <w:b/>
          <w:color w:val="000000"/>
          <w:sz w:val="24"/>
        </w:rPr>
        <w:t xml:space="preserve">• benchmark/: </w:t>
      </w:r>
      <w:r>
        <w:rPr>
          <w:rFonts w:ascii="Times New Roman" w:hAnsi="Times New Roman"/>
          <w:color w:val="000000"/>
          <w:sz w:val="24"/>
        </w:rPr>
        <w:t xml:space="preserve"> Automated empirical benchmarking suites (benchmark_suite.py) and matplotlib visualization generators (plot_results.py) comparing execution latency, cleared payment counts, and settled values across varying liquidity alphas.</w:t>
      </w:r>
    </w:p>
    <w:p>
      <w:pPr>
        <w:pStyle w:val="ListBullet"/>
        <w:spacing w:after="80" w:line="276" w:lineRule="auto"/>
        <w:jc w:val="both"/>
      </w:pPr>
      <w:r>
        <w:rPr>
          <w:rFonts w:ascii="Times New Roman" w:hAnsi="Times New Roman"/>
          <w:b/>
          <w:color w:val="000000"/>
          <w:sz w:val="24"/>
        </w:rPr>
        <w:t xml:space="preserve">• tests/: </w:t>
      </w:r>
      <w:r>
        <w:rPr>
          <w:rFonts w:ascii="Times New Roman" w:hAnsi="Times New Roman"/>
          <w:color w:val="000000"/>
          <w:sz w:val="24"/>
        </w:rPr>
        <w:t xml:space="preserve"> 170 comprehensive automated test suites (with 66 core liquidity and novel engine tests) covering unit tests, property-based tests, failure-recovery simulations, and integration checks.</w:t>
      </w:r>
    </w:p>
    <w:p>
      <w:pPr>
        <w:pStyle w:val="ListBullet"/>
        <w:spacing w:after="80" w:line="276" w:lineRule="auto"/>
        <w:jc w:val="both"/>
      </w:pPr>
      <w:r>
        <w:rPr>
          <w:rFonts w:ascii="Times New Roman" w:hAnsi="Times New Roman"/>
          <w:b/>
          <w:color w:val="000000"/>
          <w:sz w:val="24"/>
        </w:rPr>
        <w:t xml:space="preserve">• app.py: </w:t>
      </w:r>
      <w:r>
        <w:rPr>
          <w:rFonts w:ascii="Times New Roman" w:hAnsi="Times New Roman"/>
          <w:color w:val="000000"/>
          <w:sz w:val="24"/>
        </w:rPr>
        <w:t xml:space="preserve"> Interactive Streamlit dashboard for real-time AWS stack orchestration and verification.</w:t>
      </w:r>
    </w:p>
    <w:p>
      <w:pPr>
        <w:pStyle w:val="ListBullet"/>
        <w:spacing w:after="80" w:line="276" w:lineRule="auto"/>
        <w:jc w:val="both"/>
      </w:pPr>
      <w:r>
        <w:rPr>
          <w:rFonts w:ascii="Times New Roman" w:hAnsi="Times New Roman"/>
          <w:b/>
          <w:color w:val="000000"/>
          <w:sz w:val="24"/>
        </w:rPr>
        <w:t xml:space="preserve">• template.yaml &amp; template-liquidity-workflow.yaml: </w:t>
      </w:r>
      <w:r>
        <w:rPr>
          <w:rFonts w:ascii="Times New Roman" w:hAnsi="Times New Roman"/>
          <w:color w:val="000000"/>
          <w:sz w:val="24"/>
        </w:rPr>
        <w:t xml:space="preserve"> Complete Infrastructure-as-Code (IaC) templates for automated CloudFormation stack provisioning in AWS ap-south-1.</w:t>
      </w:r>
    </w:p>
    <w:p>
      <w:pPr>
        <w:keepNext/>
        <w:spacing w:before="360" w:after="120"/>
      </w:pPr>
      <w:r>
        <w:rPr>
          <w:rFonts w:ascii="Times New Roman" w:hAnsi="Times New Roman"/>
          <w:b/>
          <w:color w:val="000000"/>
          <w:sz w:val="32"/>
        </w:rPr>
        <w:t>8. Architecture Diagram:</w:t>
      </w:r>
    </w:p>
    <w:p>
      <w:pPr>
        <w:spacing w:after="120" w:line="276" w:lineRule="auto"/>
        <w:jc w:val="both"/>
      </w:pPr>
      <w:r>
        <w:rPr>
          <w:rFonts w:ascii="Times New Roman" w:hAnsi="Times New Roman"/>
          <w:color w:val="000000"/>
          <w:sz w:val="24"/>
        </w:rPr>
        <w:t>ClearPay is engineered on AWS serverless services in the Asia Pacific (Mumbai, ap-south-1) region. The architecture implements an event-driven, decoupled design that isolates payment ingestion, real-time single payments, scheduled multilateral batch netting, and automated statement reconciliation.</w:t>
      </w:r>
    </w:p>
    <w:p>
      <w:pPr>
        <w:keepNext/>
        <w:spacing w:before="160" w:after="80"/>
        <w:jc w:val="center"/>
      </w:pPr>
      <w:r>
        <w:drawing>
          <wp:inline xmlns:a="http://schemas.openxmlformats.org/drawingml/2006/main" xmlns:pic="http://schemas.openxmlformats.org/drawingml/2006/picture">
            <wp:extent cx="5577840" cy="3840339"/>
            <wp:docPr id="2" name="Picture 2"/>
            <wp:cNvGraphicFramePr>
              <a:graphicFrameLocks noChangeAspect="1"/>
            </wp:cNvGraphicFramePr>
            <a:graphic>
              <a:graphicData uri="http://schemas.openxmlformats.org/drawingml/2006/picture">
                <pic:pic>
                  <pic:nvPicPr>
                    <pic:cNvPr id="0" name="Figure_1.png"/>
                    <pic:cNvPicPr/>
                  </pic:nvPicPr>
                  <pic:blipFill>
                    <a:blip r:embed="rId11"/>
                    <a:stretch>
                      <a:fillRect/>
                    </a:stretch>
                  </pic:blipFill>
                  <pic:spPr>
                    <a:xfrm>
                      <a:off x="0" y="0"/>
                      <a:ext cx="5577840" cy="3840339"/>
                    </a:xfrm>
                    <a:prstGeom prst="rect"/>
                  </pic:spPr>
                </pic:pic>
              </a:graphicData>
            </a:graphic>
          </wp:inline>
        </w:drawing>
      </w:r>
    </w:p>
    <w:p>
      <w:pPr>
        <w:keepNext w:val="0"/>
        <w:spacing w:before="0" w:after="220"/>
        <w:jc w:val="center"/>
      </w:pPr>
      <w:r>
        <w:rPr>
          <w:rFonts w:ascii="Times New Roman" w:hAnsi="Times New Roman"/>
          <w:b/>
          <w:color w:val="1E1E1E"/>
          <w:sz w:val="21"/>
        </w:rPr>
        <w:t xml:space="preserve">Figure 1. </w:t>
      </w:r>
      <w:r>
        <w:rPr>
          <w:rFonts w:ascii="Times New Roman" w:hAnsi="Times New Roman"/>
          <w:i/>
          <w:color w:val="282828"/>
          <w:sz w:val="21"/>
        </w:rPr>
        <w:t>ClearPay serverless architecture on AWS (ap-south-1).</w:t>
      </w:r>
    </w:p>
    <w:p>
      <w:pPr>
        <w:spacing w:after="120" w:line="276" w:lineRule="auto"/>
        <w:jc w:val="both"/>
      </w:pPr>
      <w:r>
        <w:rPr>
          <w:rFonts w:ascii="Times New Roman" w:hAnsi="Times New Roman"/>
          <w:color w:val="000000"/>
          <w:sz w:val="24"/>
        </w:rPr>
        <w:t>The deployed architecture operates through six coordinated tiers as depicted in Figure 1:</w:t>
      </w:r>
    </w:p>
    <w:p>
      <w:pPr>
        <w:pStyle w:val="ListBullet"/>
        <w:spacing w:after="80" w:line="276" w:lineRule="auto"/>
        <w:jc w:val="both"/>
      </w:pPr>
      <w:r>
        <w:rPr>
          <w:rFonts w:ascii="Times New Roman" w:hAnsi="Times New Roman"/>
          <w:b/>
          <w:color w:val="000000"/>
          <w:sz w:val="24"/>
        </w:rPr>
        <w:t xml:space="preserve">8.1 Ingestion Tier (API Gateway + Ingest Lambda): </w:t>
      </w:r>
      <w:r>
        <w:rPr>
          <w:rFonts w:ascii="Times New Roman" w:hAnsi="Times New Roman"/>
          <w:color w:val="000000"/>
          <w:sz w:val="24"/>
        </w:rPr>
        <w:t xml:space="preserve"> Clients and bank operators submit payments via POST /payments and query payment status via GET /payments/{payment_id}. The API Gateway is throttled to 50 requests per second and protected by an API key header (x-api-key). IngestFunction validates schemas, verifies positive integer paise, enforces idempotency, and persists the payment into DynamoDB PaymentsTable with status PENDING.</w:t>
      </w:r>
    </w:p>
    <w:p>
      <w:pPr>
        <w:pStyle w:val="ListBullet"/>
        <w:spacing w:after="80" w:line="276" w:lineRule="auto"/>
        <w:jc w:val="both"/>
      </w:pPr>
      <w:r>
        <w:rPr>
          <w:rFonts w:ascii="Times New Roman" w:hAnsi="Times New Roman"/>
          <w:b/>
          <w:color w:val="000000"/>
          <w:sz w:val="24"/>
        </w:rPr>
        <w:t xml:space="preserve">8.2 Real-Time Posting Tier (SQS + DLQ + Poster Lambda): </w:t>
      </w:r>
      <w:r>
        <w:rPr>
          <w:rFonts w:ascii="Times New Roman" w:hAnsi="Times New Roman"/>
          <w:color w:val="000000"/>
          <w:sz w:val="24"/>
        </w:rPr>
        <w:t xml:space="preserve"> For high-priority retail payments requiring immediate real-time posting, payments pass through an Amazon SQS standard queue (visibility timeout 180s, maxReceiveCount 3) to PosterFunction. PosterFunction executes atomic DynamoDB TransactWriteItems to debit the sender, credit the receiver, and update payment status to SETTLED. Persistent failures are automatically isolated into a Dead-Letter Queue (DLQ) with 14-day retention.</w:t>
      </w:r>
    </w:p>
    <w:p>
      <w:pPr>
        <w:pStyle w:val="ListBullet"/>
        <w:spacing w:after="80" w:line="276" w:lineRule="auto"/>
        <w:jc w:val="both"/>
      </w:pPr>
      <w:r>
        <w:rPr>
          <w:rFonts w:ascii="Times New Roman" w:hAnsi="Times New Roman"/>
          <w:b/>
          <w:color w:val="000000"/>
          <w:sz w:val="24"/>
        </w:rPr>
        <w:t xml:space="preserve">8.3 Batch Settlement State Machine Tier (AWS Step Functions): </w:t>
      </w:r>
      <w:r>
        <w:rPr>
          <w:rFonts w:ascii="Times New Roman" w:hAnsi="Times New Roman"/>
          <w:color w:val="000000"/>
          <w:sz w:val="24"/>
        </w:rPr>
        <w:t xml:space="preserve"> Interbank batch netting is coordinated by an AWS Step Functions state machine (LiquiditySettlementStateMachine). The workflow executes in distinct phases: (a) CollectPending Lambda snapshots all pending payments and active bank balances, (b) AnyPending? Choice state verifies whether eligible payments exist, (c) SettlePending Lambda runs the liquidity-aware optimization engine (Removal Heuristic + BCGR / HSC), generates a deterministic settlement plan, and computes net debit positions, and (d) FinalizeSettlement executes atomic balance updates and commits ledger entries.</w:t>
      </w:r>
    </w:p>
    <w:p>
      <w:pPr>
        <w:pStyle w:val="ListBullet"/>
        <w:spacing w:after="80" w:line="276" w:lineRule="auto"/>
        <w:jc w:val="both"/>
      </w:pPr>
      <w:r>
        <w:rPr>
          <w:rFonts w:ascii="Times New Roman" w:hAnsi="Times New Roman"/>
          <w:b/>
          <w:color w:val="000000"/>
          <w:sz w:val="24"/>
        </w:rPr>
        <w:t xml:space="preserve">8.4 Immutable Plan Storage Tier (Amazon S3): </w:t>
      </w:r>
      <w:r>
        <w:rPr>
          <w:rFonts w:ascii="Times New Roman" w:hAnsi="Times New Roman"/>
          <w:color w:val="000000"/>
          <w:sz w:val="24"/>
        </w:rPr>
        <w:t xml:space="preserve"> S3DataBucket maintains complete audit immutability. The window snapshot is saved under 'windows/{window_id}/payments.json', and the approved plan is frozen under 'windows/{window_id}/approved_plan.json' with a SHA-256 plan hash.</w:t>
      </w:r>
    </w:p>
    <w:p>
      <w:pPr>
        <w:pStyle w:val="ListBullet"/>
        <w:spacing w:after="80" w:line="276" w:lineRule="auto"/>
        <w:jc w:val="both"/>
      </w:pPr>
      <w:r>
        <w:rPr>
          <w:rFonts w:ascii="Times New Roman" w:hAnsi="Times New Roman"/>
          <w:b/>
          <w:color w:val="000000"/>
          <w:sz w:val="24"/>
        </w:rPr>
        <w:t xml:space="preserve">8.5 Automated Reconciliation Tier (S3 Event Notifications + Reconcile Lambda): </w:t>
      </w:r>
      <w:r>
        <w:rPr>
          <w:rFonts w:ascii="Times New Roman" w:hAnsi="Times New Roman"/>
          <w:color w:val="000000"/>
          <w:sz w:val="24"/>
        </w:rPr>
        <w:t xml:space="preserve"> External bank statements uploaded to 'statements/' automatically trigger ReconcileFunction via S3 ObjectCreated events. The function performs a three-way reconciliation against the DynamoDB ledger, flagging duplicate transactions, missing entries, and amount discrepancies.</w:t>
      </w:r>
    </w:p>
    <w:p>
      <w:pPr>
        <w:pStyle w:val="ListBullet"/>
        <w:spacing w:after="80" w:line="276" w:lineRule="auto"/>
        <w:jc w:val="both"/>
      </w:pPr>
      <w:r>
        <w:rPr>
          <w:rFonts w:ascii="Times New Roman" w:hAnsi="Times New Roman"/>
          <w:b/>
          <w:color w:val="000000"/>
          <w:sz w:val="24"/>
        </w:rPr>
        <w:t xml:space="preserve">8.6 Persistent Database Tier (Amazon DynamoDB): </w:t>
      </w:r>
      <w:r>
        <w:rPr>
          <w:rFonts w:ascii="Times New Roman" w:hAnsi="Times New Roman"/>
          <w:color w:val="000000"/>
          <w:sz w:val="24"/>
        </w:rPr>
        <w:t xml:space="preserve"> Structured around four purpose-built DynamoDB tables configured with on-demand capacity and server-side encryption.</w:t>
      </w:r>
    </w:p>
    <w:p>
      <w:pPr>
        <w:keepNext/>
        <w:spacing w:before="260" w:after="80"/>
      </w:pPr>
      <w:r>
        <w:rPr>
          <w:rFonts w:ascii="Times New Roman" w:hAnsi="Times New Roman"/>
          <w:b/>
          <w:color w:val="1E1E1E"/>
          <w:sz w:val="28"/>
        </w:rPr>
        <w:t>8.7 ClearPay Cloud Data Model</w:t>
      </w:r>
    </w:p>
    <w:p>
      <w:pPr>
        <w:spacing w:after="120" w:line="276" w:lineRule="auto"/>
        <w:jc w:val="both"/>
      </w:pPr>
      <w:r>
        <w:rPr>
          <w:rFonts w:ascii="Times New Roman" w:hAnsi="Times New Roman"/>
          <w:color w:val="000000"/>
          <w:sz w:val="24"/>
        </w:rPr>
        <w:t>The schema, primary keys, and roles of the DynamoDB tables and S3 resources are summarized in Table 1:</w:t>
      </w:r>
    </w:p>
    <w:tbl>
      <w:tblPr>
        <w:tblW w:type="auto" w:w="0"/>
        <w:jc w:val="center"/>
        <w:tblLook w:firstColumn="1" w:firstRow="1" w:lastColumn="0" w:lastRow="0" w:noHBand="0" w:noVBand="1" w:val="04A0"/>
        <w:tblBorders>
          <w:top w:val="single" w:sz="6" w:space="0" w:color="888888"/>
          <w:bottom w:val="single" w:sz="6" w:space="0" w:color="888888"/>
          <w:insideH w:val="single" w:sz="4" w:space="0" w:color="CCCCCC"/>
          <w:left w:val="none"/>
          <w:right w:val="none"/>
          <w:insideV w:val="none"/>
        </w:tblBorders>
      </w:tblPr>
      <w:tblGrid>
        <w:gridCol w:w="2340"/>
        <w:gridCol w:w="2340"/>
        <w:gridCol w:w="2340"/>
        <w:gridCol w:w="2340"/>
      </w:tblGrid>
      <w:tr>
        <w:tc>
          <w:tcPr>
            <w:tcW w:type="dxa" w:w="2016"/>
            <w:tcMar>
              <w:top w:w="120" w:type="dxa"/>
              <w:bottom w:w="120" w:type="dxa"/>
              <w:left w:w="140" w:type="dxa"/>
              <w:right w:w="140" w:type="dxa"/>
            </w:tcMar>
            <w:shd w:fill="2B2B2B"/>
          </w:tcPr>
          <w:p>
            <w:pPr>
              <w:jc w:val="left"/>
            </w:pPr>
            <w:r>
              <w:rPr>
                <w:rFonts w:ascii="Times New Roman" w:hAnsi="Times New Roman"/>
                <w:b/>
                <w:color w:val="FFFFFF"/>
                <w:sz w:val="22"/>
              </w:rPr>
              <w:t>Resource</w:t>
            </w:r>
          </w:p>
        </w:tc>
        <w:tc>
          <w:tcPr>
            <w:tcW w:type="dxa" w:w="2160"/>
            <w:tcMar>
              <w:top w:w="120" w:type="dxa"/>
              <w:bottom w:w="120" w:type="dxa"/>
              <w:left w:w="140" w:type="dxa"/>
              <w:right w:w="140" w:type="dxa"/>
            </w:tcMar>
            <w:shd w:fill="2B2B2B"/>
          </w:tcPr>
          <w:p>
            <w:pPr>
              <w:jc w:val="left"/>
            </w:pPr>
            <w:r>
              <w:rPr>
                <w:rFonts w:ascii="Times New Roman" w:hAnsi="Times New Roman"/>
                <w:b/>
                <w:color w:val="FFFFFF"/>
                <w:sz w:val="22"/>
              </w:rPr>
              <w:t>Partition Key (PK)</w:t>
            </w:r>
          </w:p>
        </w:tc>
        <w:tc>
          <w:tcPr>
            <w:tcW w:type="dxa" w:w="2304"/>
            <w:tcMar>
              <w:top w:w="120" w:type="dxa"/>
              <w:bottom w:w="120" w:type="dxa"/>
              <w:left w:w="140" w:type="dxa"/>
              <w:right w:w="140" w:type="dxa"/>
            </w:tcMar>
            <w:shd w:fill="2B2B2B"/>
          </w:tcPr>
          <w:p>
            <w:pPr>
              <w:jc w:val="left"/>
            </w:pPr>
            <w:r>
              <w:rPr>
                <w:rFonts w:ascii="Times New Roman" w:hAnsi="Times New Roman"/>
                <w:b/>
                <w:color w:val="FFFFFF"/>
                <w:sz w:val="22"/>
              </w:rPr>
              <w:t>Sort Key (SK) / Details</w:t>
            </w:r>
          </w:p>
        </w:tc>
        <w:tc>
          <w:tcPr>
            <w:tcW w:type="dxa" w:w="2880"/>
            <w:tcMar>
              <w:top w:w="120" w:type="dxa"/>
              <w:bottom w:w="120" w:type="dxa"/>
              <w:left w:w="140" w:type="dxa"/>
              <w:right w:w="140" w:type="dxa"/>
            </w:tcMar>
            <w:shd w:fill="2B2B2B"/>
          </w:tcPr>
          <w:p>
            <w:pPr>
              <w:jc w:val="left"/>
            </w:pPr>
            <w:r>
              <w:rPr>
                <w:rFonts w:ascii="Times New Roman" w:hAnsi="Times New Roman"/>
                <w:b/>
                <w:color w:val="FFFFFF"/>
                <w:sz w:val="22"/>
              </w:rPr>
              <w:t>Purpose &amp; Architectural Role</w:t>
            </w:r>
          </w:p>
        </w:tc>
      </w:tr>
      <w:tr>
        <w:tc>
          <w:tcPr>
            <w:tcW w:type="dxa" w:w="2016"/>
            <w:tcMar>
              <w:top w:w="120" w:type="dxa"/>
              <w:bottom w:w="120" w:type="dxa"/>
              <w:left w:w="140" w:type="dxa"/>
              <w:right w:w="140" w:type="dxa"/>
            </w:tcMar>
            <w:shd w:fill="F9F9F9"/>
          </w:tcPr>
          <w:p>
            <w:pPr>
              <w:jc w:val="left"/>
            </w:pPr>
            <w:r>
              <w:rPr>
                <w:rFonts w:ascii="Times New Roman" w:hAnsi="Times New Roman"/>
                <w:color w:val="000000"/>
                <w:sz w:val="21"/>
              </w:rPr>
              <w:t>PaymentsTable</w:t>
            </w:r>
          </w:p>
        </w:tc>
        <w:tc>
          <w:tcPr>
            <w:tcW w:type="dxa" w:w="2160"/>
            <w:tcMar>
              <w:top w:w="120" w:type="dxa"/>
              <w:bottom w:w="120" w:type="dxa"/>
              <w:left w:w="140" w:type="dxa"/>
              <w:right w:w="140" w:type="dxa"/>
            </w:tcMar>
            <w:shd w:fill="F9F9F9"/>
          </w:tcPr>
          <w:p>
            <w:pPr>
              <w:jc w:val="left"/>
            </w:pPr>
            <w:r>
              <w:rPr>
                <w:rFonts w:ascii="Times New Roman" w:hAnsi="Times New Roman"/>
                <w:color w:val="000000"/>
                <w:sz w:val="21"/>
              </w:rPr>
              <w:t>payment_id (String)</w:t>
            </w:r>
          </w:p>
        </w:tc>
        <w:tc>
          <w:tcPr>
            <w:tcW w:type="dxa" w:w="2304"/>
            <w:tcMar>
              <w:top w:w="120" w:type="dxa"/>
              <w:bottom w:w="120" w:type="dxa"/>
              <w:left w:w="140" w:type="dxa"/>
              <w:right w:w="140" w:type="dxa"/>
            </w:tcMar>
            <w:shd w:fill="F9F9F9"/>
          </w:tcPr>
          <w:p>
            <w:pPr>
              <w:jc w:val="left"/>
            </w:pPr>
            <w:r>
              <w:rPr>
                <w:rFonts w:ascii="Times New Roman" w:hAnsi="Times New Roman"/>
                <w:color w:val="000000"/>
                <w:sz w:val="21"/>
              </w:rPr>
              <w:t>GSI: StatusPostedIndex</w:t>
            </w:r>
          </w:p>
        </w:tc>
        <w:tc>
          <w:tcPr>
            <w:tcW w:type="dxa" w:w="2880"/>
            <w:tcMar>
              <w:top w:w="120" w:type="dxa"/>
              <w:bottom w:w="120" w:type="dxa"/>
              <w:left w:w="140" w:type="dxa"/>
              <w:right w:w="140" w:type="dxa"/>
            </w:tcMar>
            <w:shd w:fill="F9F9F9"/>
          </w:tcPr>
          <w:p>
            <w:pPr>
              <w:jc w:val="left"/>
            </w:pPr>
            <w:r>
              <w:rPr>
                <w:rFonts w:ascii="Times New Roman" w:hAnsi="Times New Roman"/>
                <w:color w:val="000000"/>
                <w:sz w:val="21"/>
              </w:rPr>
              <w:t>Maintains payment lifecycle status (PENDING, SETTLED, DEFERRED) and payment metadata.</w:t>
            </w:r>
          </w:p>
        </w:tc>
      </w:tr>
      <w:tr>
        <w:tc>
          <w:tcPr>
            <w:tcW w:type="dxa" w:w="2016"/>
            <w:tcMar>
              <w:top w:w="120" w:type="dxa"/>
              <w:bottom w:w="120" w:type="dxa"/>
              <w:left w:w="140" w:type="dxa"/>
              <w:right w:w="140" w:type="dxa"/>
            </w:tcMar>
            <w:shd w:fill="FFFFFF"/>
          </w:tcPr>
          <w:p>
            <w:pPr>
              <w:jc w:val="left"/>
            </w:pPr>
            <w:r>
              <w:rPr>
                <w:rFonts w:ascii="Times New Roman" w:hAnsi="Times New Roman"/>
                <w:color w:val="000000"/>
                <w:sz w:val="21"/>
              </w:rPr>
              <w:t>AccountsTable</w:t>
            </w:r>
          </w:p>
        </w:tc>
        <w:tc>
          <w:tcPr>
            <w:tcW w:type="dxa" w:w="2160"/>
            <w:tcMar>
              <w:top w:w="120" w:type="dxa"/>
              <w:bottom w:w="120" w:type="dxa"/>
              <w:left w:w="140" w:type="dxa"/>
              <w:right w:w="140" w:type="dxa"/>
            </w:tcMar>
            <w:shd w:fill="FFFFFF"/>
          </w:tcPr>
          <w:p>
            <w:pPr>
              <w:jc w:val="left"/>
            </w:pPr>
            <w:r>
              <w:rPr>
                <w:rFonts w:ascii="Times New Roman" w:hAnsi="Times New Roman"/>
                <w:color w:val="000000"/>
                <w:sz w:val="21"/>
              </w:rPr>
              <w:t>account_id (String)</w:t>
            </w:r>
          </w:p>
        </w:tc>
        <w:tc>
          <w:tcPr>
            <w:tcW w:type="dxa" w:w="2304"/>
            <w:tcMar>
              <w:top w:w="120" w:type="dxa"/>
              <w:bottom w:w="120" w:type="dxa"/>
              <w:left w:w="140" w:type="dxa"/>
              <w:right w:w="140" w:type="dxa"/>
            </w:tcMar>
            <w:shd w:fill="FFFFFF"/>
          </w:tcPr>
          <w:p>
            <w:pPr>
              <w:jc w:val="left"/>
            </w:pPr>
            <w:r>
              <w:rPr>
                <w:rFonts w:ascii="Times New Roman" w:hAnsi="Times New Roman"/>
                <w:color w:val="000000"/>
                <w:sz w:val="21"/>
              </w:rPr>
              <w:t>None</w:t>
            </w:r>
          </w:p>
        </w:tc>
        <w:tc>
          <w:tcPr>
            <w:tcW w:type="dxa" w:w="2880"/>
            <w:tcMar>
              <w:top w:w="120" w:type="dxa"/>
              <w:bottom w:w="120" w:type="dxa"/>
              <w:left w:w="140" w:type="dxa"/>
              <w:right w:w="140" w:type="dxa"/>
            </w:tcMar>
            <w:shd w:fill="FFFFFF"/>
          </w:tcPr>
          <w:p>
            <w:pPr>
              <w:jc w:val="left"/>
            </w:pPr>
            <w:r>
              <w:rPr>
                <w:rFonts w:ascii="Times New Roman" w:hAnsi="Times New Roman"/>
                <w:color w:val="000000"/>
                <w:sz w:val="21"/>
              </w:rPr>
              <w:t>Stores authoritative bank liquidity balances held as integer paise (balance_paise).</w:t>
            </w:r>
          </w:p>
        </w:tc>
      </w:tr>
      <w:tr>
        <w:tc>
          <w:tcPr>
            <w:tcW w:type="dxa" w:w="2016"/>
            <w:tcMar>
              <w:top w:w="120" w:type="dxa"/>
              <w:bottom w:w="120" w:type="dxa"/>
              <w:left w:w="140" w:type="dxa"/>
              <w:right w:w="140" w:type="dxa"/>
            </w:tcMar>
            <w:shd w:fill="F9F9F9"/>
          </w:tcPr>
          <w:p>
            <w:pPr>
              <w:jc w:val="left"/>
            </w:pPr>
            <w:r>
              <w:rPr>
                <w:rFonts w:ascii="Times New Roman" w:hAnsi="Times New Roman"/>
                <w:color w:val="000000"/>
                <w:sz w:val="21"/>
              </w:rPr>
              <w:t>LedgerTable</w:t>
            </w:r>
          </w:p>
        </w:tc>
        <w:tc>
          <w:tcPr>
            <w:tcW w:type="dxa" w:w="2160"/>
            <w:tcMar>
              <w:top w:w="120" w:type="dxa"/>
              <w:bottom w:w="120" w:type="dxa"/>
              <w:left w:w="140" w:type="dxa"/>
              <w:right w:w="140" w:type="dxa"/>
            </w:tcMar>
            <w:shd w:fill="F9F9F9"/>
          </w:tcPr>
          <w:p>
            <w:pPr>
              <w:jc w:val="left"/>
            </w:pPr>
            <w:r>
              <w:rPr>
                <w:rFonts w:ascii="Times New Roman" w:hAnsi="Times New Roman"/>
                <w:color w:val="000000"/>
                <w:sz w:val="21"/>
              </w:rPr>
              <w:t>account_id (String)</w:t>
            </w:r>
          </w:p>
        </w:tc>
        <w:tc>
          <w:tcPr>
            <w:tcW w:type="dxa" w:w="2304"/>
            <w:tcMar>
              <w:top w:w="120" w:type="dxa"/>
              <w:bottom w:w="120" w:type="dxa"/>
              <w:left w:w="140" w:type="dxa"/>
              <w:right w:w="140" w:type="dxa"/>
            </w:tcMar>
            <w:shd w:fill="F9F9F9"/>
          </w:tcPr>
          <w:p>
            <w:pPr>
              <w:jc w:val="left"/>
            </w:pPr>
            <w:r>
              <w:rPr>
                <w:rFonts w:ascii="Times New Roman" w:hAnsi="Times New Roman"/>
                <w:color w:val="000000"/>
                <w:sz w:val="21"/>
              </w:rPr>
              <w:t>entry_id = window#payment#D|C</w:t>
            </w:r>
          </w:p>
        </w:tc>
        <w:tc>
          <w:tcPr>
            <w:tcW w:type="dxa" w:w="2880"/>
            <w:tcMar>
              <w:top w:w="120" w:type="dxa"/>
              <w:bottom w:w="120" w:type="dxa"/>
              <w:left w:w="140" w:type="dxa"/>
              <w:right w:w="140" w:type="dxa"/>
            </w:tcMar>
            <w:shd w:fill="F9F9F9"/>
          </w:tcPr>
          <w:p>
            <w:pPr>
              <w:jc w:val="left"/>
            </w:pPr>
            <w:r>
              <w:rPr>
                <w:rFonts w:ascii="Times New Roman" w:hAnsi="Times New Roman"/>
                <w:color w:val="000000"/>
                <w:sz w:val="21"/>
              </w:rPr>
              <w:t>Double-entry accounting ledger recording atomic debit and credit rows for every transfer.</w:t>
            </w:r>
          </w:p>
        </w:tc>
      </w:tr>
      <w:tr>
        <w:tc>
          <w:tcPr>
            <w:tcW w:type="dxa" w:w="2016"/>
            <w:tcMar>
              <w:top w:w="120" w:type="dxa"/>
              <w:bottom w:w="120" w:type="dxa"/>
              <w:left w:w="140" w:type="dxa"/>
              <w:right w:w="140" w:type="dxa"/>
            </w:tcMar>
            <w:shd w:fill="FFFFFF"/>
          </w:tcPr>
          <w:p>
            <w:pPr>
              <w:jc w:val="left"/>
            </w:pPr>
            <w:r>
              <w:rPr>
                <w:rFonts w:ascii="Times New Roman" w:hAnsi="Times New Roman"/>
                <w:color w:val="000000"/>
                <w:sz w:val="21"/>
              </w:rPr>
              <w:t>SettlementsTable</w:t>
            </w:r>
          </w:p>
        </w:tc>
        <w:tc>
          <w:tcPr>
            <w:tcW w:type="dxa" w:w="2160"/>
            <w:tcMar>
              <w:top w:w="120" w:type="dxa"/>
              <w:bottom w:w="120" w:type="dxa"/>
              <w:left w:w="140" w:type="dxa"/>
              <w:right w:w="140" w:type="dxa"/>
            </w:tcMar>
            <w:shd w:fill="FFFFFF"/>
          </w:tcPr>
          <w:p>
            <w:pPr>
              <w:jc w:val="left"/>
            </w:pPr>
            <w:r>
              <w:rPr>
                <w:rFonts w:ascii="Times New Roman" w:hAnsi="Times New Roman"/>
                <w:color w:val="000000"/>
                <w:sz w:val="21"/>
              </w:rPr>
              <w:t>window_id (String)</w:t>
            </w:r>
          </w:p>
        </w:tc>
        <w:tc>
          <w:tcPr>
            <w:tcW w:type="dxa" w:w="2304"/>
            <w:tcMar>
              <w:top w:w="120" w:type="dxa"/>
              <w:bottom w:w="120" w:type="dxa"/>
              <w:left w:w="140" w:type="dxa"/>
              <w:right w:w="140" w:type="dxa"/>
            </w:tcMar>
            <w:shd w:fill="FFFFFF"/>
          </w:tcPr>
          <w:p>
            <w:pPr>
              <w:jc w:val="left"/>
            </w:pPr>
            <w:r>
              <w:rPr>
                <w:rFonts w:ascii="Times New Roman" w:hAnsi="Times New Roman"/>
                <w:color w:val="000000"/>
                <w:sz w:val="21"/>
              </w:rPr>
              <w:t>None</w:t>
            </w:r>
          </w:p>
        </w:tc>
        <w:tc>
          <w:tcPr>
            <w:tcW w:type="dxa" w:w="2880"/>
            <w:tcMar>
              <w:top w:w="120" w:type="dxa"/>
              <w:bottom w:w="120" w:type="dxa"/>
              <w:left w:w="140" w:type="dxa"/>
              <w:right w:w="140" w:type="dxa"/>
            </w:tcMar>
            <w:shd w:fill="FFFFFF"/>
          </w:tcPr>
          <w:p>
            <w:pPr>
              <w:jc w:val="left"/>
            </w:pPr>
            <w:r>
              <w:rPr>
                <w:rFonts w:ascii="Times New Roman" w:hAnsi="Times New Roman"/>
                <w:color w:val="000000"/>
                <w:sz w:val="21"/>
              </w:rPr>
              <w:t>Per-window settlement execution state, algorithm parameters, and summary statistics.</w:t>
            </w:r>
          </w:p>
        </w:tc>
      </w:tr>
      <w:tr>
        <w:tc>
          <w:tcPr>
            <w:tcW w:type="dxa" w:w="2016"/>
            <w:tcMar>
              <w:top w:w="120" w:type="dxa"/>
              <w:bottom w:w="120" w:type="dxa"/>
              <w:left w:w="140" w:type="dxa"/>
              <w:right w:w="140" w:type="dxa"/>
            </w:tcMar>
            <w:shd w:fill="F9F9F9"/>
          </w:tcPr>
          <w:p>
            <w:pPr>
              <w:jc w:val="left"/>
            </w:pPr>
            <w:r>
              <w:rPr>
                <w:rFonts w:ascii="Times New Roman" w:hAnsi="Times New Roman"/>
                <w:color w:val="000000"/>
                <w:sz w:val="21"/>
              </w:rPr>
              <w:t>S3 DataBucket</w:t>
            </w:r>
          </w:p>
        </w:tc>
        <w:tc>
          <w:tcPr>
            <w:tcW w:type="dxa" w:w="2160"/>
            <w:tcMar>
              <w:top w:w="120" w:type="dxa"/>
              <w:bottom w:w="120" w:type="dxa"/>
              <w:left w:w="140" w:type="dxa"/>
              <w:right w:w="140" w:type="dxa"/>
            </w:tcMar>
            <w:shd w:fill="F9F9F9"/>
          </w:tcPr>
          <w:p>
            <w:pPr>
              <w:jc w:val="left"/>
            </w:pPr>
            <w:r>
              <w:rPr>
                <w:rFonts w:ascii="Times New Roman" w:hAnsi="Times New Roman"/>
                <w:color w:val="000000"/>
                <w:sz w:val="21"/>
              </w:rPr>
              <w:t>S3 Bucket: clearpay-data-134748918128</w:t>
            </w:r>
          </w:p>
        </w:tc>
        <w:tc>
          <w:tcPr>
            <w:tcW w:type="dxa" w:w="2304"/>
            <w:tcMar>
              <w:top w:w="120" w:type="dxa"/>
              <w:bottom w:w="120" w:type="dxa"/>
              <w:left w:w="140" w:type="dxa"/>
              <w:right w:w="140" w:type="dxa"/>
            </w:tcMar>
            <w:shd w:fill="F9F9F9"/>
          </w:tcPr>
          <w:p>
            <w:pPr>
              <w:jc w:val="left"/>
            </w:pPr>
            <w:r>
              <w:rPr>
                <w:rFonts w:ascii="Times New Roman" w:hAnsi="Times New Roman"/>
                <w:color w:val="000000"/>
                <w:sz w:val="21"/>
              </w:rPr>
              <w:t>windows/{id}/*, statements/*</w:t>
            </w:r>
          </w:p>
        </w:tc>
        <w:tc>
          <w:tcPr>
            <w:tcW w:type="dxa" w:w="2880"/>
            <w:tcMar>
              <w:top w:w="120" w:type="dxa"/>
              <w:bottom w:w="120" w:type="dxa"/>
              <w:left w:w="140" w:type="dxa"/>
              <w:right w:w="140" w:type="dxa"/>
            </w:tcMar>
            <w:shd w:fill="F9F9F9"/>
          </w:tcPr>
          <w:p>
            <w:pPr>
              <w:jc w:val="left"/>
            </w:pPr>
            <w:r>
              <w:rPr>
                <w:rFonts w:ascii="Times New Roman" w:hAnsi="Times New Roman"/>
                <w:color w:val="000000"/>
                <w:sz w:val="21"/>
              </w:rPr>
              <w:t>Stores window snapshots, cryptographic SHA-256 plans, and external reconciliation statements.</w:t>
            </w:r>
          </w:p>
        </w:tc>
      </w:tr>
      <w:tr>
        <w:tc>
          <w:tcPr>
            <w:tcW w:type="dxa" w:w="2016"/>
            <w:tcMar>
              <w:top w:w="120" w:type="dxa"/>
              <w:bottom w:w="120" w:type="dxa"/>
              <w:left w:w="140" w:type="dxa"/>
              <w:right w:w="140" w:type="dxa"/>
            </w:tcMar>
            <w:shd w:fill="FFFFFF"/>
          </w:tcPr>
          <w:p>
            <w:pPr>
              <w:jc w:val="left"/>
            </w:pPr>
            <w:r>
              <w:rPr>
                <w:rFonts w:ascii="Times New Roman" w:hAnsi="Times New Roman"/>
                <w:color w:val="000000"/>
                <w:sz w:val="21"/>
              </w:rPr>
              <w:t>SQS + DLQ</w:t>
            </w:r>
          </w:p>
        </w:tc>
        <w:tc>
          <w:tcPr>
            <w:tcW w:type="dxa" w:w="2160"/>
            <w:tcMar>
              <w:top w:w="120" w:type="dxa"/>
              <w:bottom w:w="120" w:type="dxa"/>
              <w:left w:w="140" w:type="dxa"/>
              <w:right w:w="140" w:type="dxa"/>
            </w:tcMar>
            <w:shd w:fill="FFFFFF"/>
          </w:tcPr>
          <w:p>
            <w:pPr>
              <w:jc w:val="left"/>
            </w:pPr>
            <w:r>
              <w:rPr>
                <w:rFonts w:ascii="Times New Roman" w:hAnsi="Times New Roman"/>
                <w:color w:val="000000"/>
                <w:sz w:val="21"/>
              </w:rPr>
              <w:t>Amazon SQS Queues</w:t>
            </w:r>
          </w:p>
        </w:tc>
        <w:tc>
          <w:tcPr>
            <w:tcW w:type="dxa" w:w="2304"/>
            <w:tcMar>
              <w:top w:w="120" w:type="dxa"/>
              <w:bottom w:w="120" w:type="dxa"/>
              <w:left w:w="140" w:type="dxa"/>
              <w:right w:w="140" w:type="dxa"/>
            </w:tcMar>
            <w:shd w:fill="FFFFFF"/>
          </w:tcPr>
          <w:p>
            <w:pPr>
              <w:jc w:val="left"/>
            </w:pPr>
            <w:r>
              <w:rPr>
                <w:rFonts w:ascii="Times New Roman" w:hAnsi="Times New Roman"/>
                <w:color w:val="000000"/>
                <w:sz w:val="21"/>
              </w:rPr>
              <w:t>Visibility 180s, DLQ 3 retries</w:t>
            </w:r>
          </w:p>
        </w:tc>
        <w:tc>
          <w:tcPr>
            <w:tcW w:type="dxa" w:w="2880"/>
            <w:tcMar>
              <w:top w:w="120" w:type="dxa"/>
              <w:bottom w:w="120" w:type="dxa"/>
              <w:left w:w="140" w:type="dxa"/>
              <w:right w:w="140" w:type="dxa"/>
            </w:tcMar>
            <w:shd w:fill="FFFFFF"/>
          </w:tcPr>
          <w:p>
            <w:pPr>
              <w:jc w:val="left"/>
            </w:pPr>
            <w:r>
              <w:rPr>
                <w:rFonts w:ascii="Times New Roman" w:hAnsi="Times New Roman"/>
                <w:color w:val="000000"/>
                <w:sz w:val="21"/>
              </w:rPr>
              <w:t>Buffers real-time payment ingestion and isolates corrupted or failing messages.</w:t>
            </w:r>
          </w:p>
        </w:tc>
      </w:tr>
    </w:tbl>
    <w:p>
      <w:pPr>
        <w:spacing w:before="80" w:after="280"/>
        <w:jc w:val="center"/>
      </w:pPr>
      <w:r>
        <w:rPr>
          <w:rFonts w:ascii="Times New Roman" w:hAnsi="Times New Roman"/>
          <w:b/>
          <w:color w:val="1E1E1E"/>
          <w:sz w:val="21"/>
        </w:rPr>
        <w:t xml:space="preserve">Table 1. </w:t>
      </w:r>
      <w:r>
        <w:rPr>
          <w:rFonts w:ascii="Times New Roman" w:hAnsi="Times New Roman"/>
          <w:i/>
          <w:color w:val="282828"/>
          <w:sz w:val="21"/>
        </w:rPr>
        <w:t>Data model and persistence layout of the ClearPay AWS serverless stack.</w:t>
      </w:r>
    </w:p>
    <w:p>
      <w:pPr>
        <w:keepNext/>
        <w:spacing w:before="360" w:after="120"/>
      </w:pPr>
      <w:r>
        <w:rPr>
          <w:rFonts w:ascii="Times New Roman" w:hAnsi="Times New Roman"/>
          <w:b/>
          <w:color w:val="000000"/>
          <w:sz w:val="32"/>
        </w:rPr>
        <w:t>9. Screenshots:</w:t>
      </w:r>
    </w:p>
    <w:p>
      <w:pPr>
        <w:spacing w:after="120" w:line="276" w:lineRule="auto"/>
        <w:jc w:val="both"/>
      </w:pPr>
      <w:r>
        <w:rPr>
          <w:rFonts w:ascii="Times New Roman" w:hAnsi="Times New Roman"/>
          <w:color w:val="000000"/>
          <w:sz w:val="24"/>
        </w:rPr>
        <w:t>This section presents the complete live cloud execution traces captured directly from the deployed AWS stack in Asia Pacific (Mumbai, ap-south-1). The screenshots follow every stage of transaction processing across API Gateway, Lambda, DynamoDB, SQS, Step Functions, S3, and the Streamlit operator dashboard across three distinct production scenarios:</w:t>
      </w:r>
    </w:p>
    <w:p>
      <w:pPr>
        <w:pStyle w:val="ListBullet"/>
        <w:spacing w:after="80" w:line="276" w:lineRule="auto"/>
        <w:jc w:val="both"/>
      </w:pPr>
      <w:r>
        <w:rPr>
          <w:rFonts w:ascii="Times New Roman" w:hAnsi="Times New Roman"/>
          <w:color w:val="000000"/>
          <w:sz w:val="24"/>
        </w:rPr>
        <w:t>Scenario 1: Normal Payments Execution (Three solvent interbank transfers settled and balanced atomically).</w:t>
      </w:r>
    </w:p>
    <w:p>
      <w:pPr>
        <w:pStyle w:val="ListBullet"/>
        <w:spacing w:after="80" w:line="276" w:lineRule="auto"/>
        <w:jc w:val="both"/>
      </w:pPr>
      <w:r>
        <w:rPr>
          <w:rFonts w:ascii="Times New Roman" w:hAnsi="Times New Roman"/>
          <w:color w:val="000000"/>
          <w:sz w:val="24"/>
        </w:rPr>
        <w:t>Scenario 2: Insufficient Liquidity Protection (A payment exceeding sender's balance is safely deferred with zero overdraft).</w:t>
      </w:r>
    </w:p>
    <w:p>
      <w:pPr>
        <w:pStyle w:val="ListBullet"/>
        <w:spacing w:after="80" w:line="276" w:lineRule="auto"/>
        <w:jc w:val="both"/>
      </w:pPr>
      <w:r>
        <w:rPr>
          <w:rFonts w:ascii="Times New Roman" w:hAnsi="Times New Roman"/>
          <w:color w:val="000000"/>
          <w:sz w:val="24"/>
        </w:rPr>
        <w:t>Scenario 3: Circular Gridlock Resolution (A closed 3-bank dependency cycle settled atomically with zero net cash via BCGR).</w:t>
      </w:r>
    </w:p>
    <w:p>
      <w:pPr>
        <w:keepNext/>
        <w:spacing w:before="260" w:after="80"/>
      </w:pPr>
      <w:r>
        <w:rPr>
          <w:rFonts w:ascii="Times New Roman" w:hAnsi="Times New Roman"/>
          <w:b/>
          <w:color w:val="1E1E1E"/>
          <w:sz w:val="28"/>
        </w:rPr>
        <w:t>9.1 Scenario 1: Normal Payments Execution</w:t>
      </w:r>
    </w:p>
    <w:p>
      <w:pPr>
        <w:spacing w:after="120" w:line="276" w:lineRule="auto"/>
        <w:jc w:val="both"/>
      </w:pPr>
      <w:r>
        <w:rPr>
          <w:rFonts w:ascii="Times New Roman" w:hAnsi="Times New Roman"/>
          <w:color w:val="000000"/>
          <w:sz w:val="24"/>
        </w:rPr>
        <w:t>Stage 1: Preflight Connection &amp; Batch Preparation in Streamlit Dashboard. The operator dashboard confirms active connectivity to AWS ap-south-1 and reads initial balances from DynamoDB AccountsTable: Bank A holds INR 973.00, Bank B holds INR 1,009.00, and Bank C holds INR 1,018.00, totaling exactly INR 3,000.00.</w:t>
      </w:r>
    </w:p>
    <w:p>
      <w:pPr>
        <w:keepNext/>
        <w:spacing w:before="160" w:after="80"/>
        <w:jc w:val="center"/>
      </w:pPr>
      <w:r>
        <w:drawing>
          <wp:inline xmlns:a="http://schemas.openxmlformats.org/drawingml/2006/main" xmlns:pic="http://schemas.openxmlformats.org/drawingml/2006/picture">
            <wp:extent cx="5394960" cy="1985232"/>
            <wp:docPr id="3" name="Picture 3"/>
            <wp:cNvGraphicFramePr>
              <a:graphicFrameLocks noChangeAspect="1"/>
            </wp:cNvGraphicFramePr>
            <a:graphic>
              <a:graphicData uri="http://schemas.openxmlformats.org/drawingml/2006/picture">
                <pic:pic>
                  <pic:nvPicPr>
                    <pic:cNvPr id="0" name="Figure_2.png"/>
                    <pic:cNvPicPr/>
                  </pic:nvPicPr>
                  <pic:blipFill>
                    <a:blip r:embed="rId12"/>
                    <a:stretch>
                      <a:fillRect/>
                    </a:stretch>
                  </pic:blipFill>
                  <pic:spPr>
                    <a:xfrm>
                      <a:off x="0" y="0"/>
                      <a:ext cx="5394960" cy="1985232"/>
                    </a:xfrm>
                    <a:prstGeom prst="rect"/>
                  </pic:spPr>
                </pic:pic>
              </a:graphicData>
            </a:graphic>
          </wp:inline>
        </w:drawing>
      </w:r>
    </w:p>
    <w:p>
      <w:pPr>
        <w:keepNext w:val="0"/>
        <w:spacing w:before="0" w:after="220"/>
        <w:jc w:val="center"/>
      </w:pPr>
      <w:r>
        <w:rPr>
          <w:rFonts w:ascii="Times New Roman" w:hAnsi="Times New Roman"/>
          <w:b/>
          <w:color w:val="1E1E1E"/>
          <w:sz w:val="21"/>
        </w:rPr>
        <w:t xml:space="preserve">Figure 2. </w:t>
      </w:r>
      <w:r>
        <w:rPr>
          <w:rFonts w:ascii="Times New Roman" w:hAnsi="Times New Roman"/>
          <w:i/>
          <w:color w:val="282828"/>
          <w:sz w:val="21"/>
        </w:rPr>
        <w:t>Dashboard preflight confirming AWS connection and live DynamoDB balances in ap-south-1.</w:t>
      </w:r>
    </w:p>
    <w:p>
      <w:pPr>
        <w:spacing w:after="120" w:line="276" w:lineRule="auto"/>
        <w:jc w:val="both"/>
      </w:pPr>
      <w:r>
        <w:rPr>
          <w:rFonts w:ascii="Times New Roman" w:hAnsi="Times New Roman"/>
          <w:color w:val="000000"/>
          <w:sz w:val="24"/>
        </w:rPr>
        <w:t>The operator selects the 'Normal payments' test case consisting of three offsetting obligations: Bank A pays Bank B INR 10.00, Bank B pays Bank C INR 7.00, and Bank C pays Bank A INR 5.00. The batch is submitted to AWS.</w:t>
      </w:r>
    </w:p>
    <w:p>
      <w:pPr>
        <w:keepNext/>
        <w:spacing w:before="160" w:after="80"/>
        <w:jc w:val="center"/>
      </w:pPr>
      <w:r>
        <w:drawing>
          <wp:inline xmlns:a="http://schemas.openxmlformats.org/drawingml/2006/main" xmlns:pic="http://schemas.openxmlformats.org/drawingml/2006/picture">
            <wp:extent cx="5394960" cy="3282288"/>
            <wp:docPr id="4" name="Picture 4"/>
            <wp:cNvGraphicFramePr>
              <a:graphicFrameLocks noChangeAspect="1"/>
            </wp:cNvGraphicFramePr>
            <a:graphic>
              <a:graphicData uri="http://schemas.openxmlformats.org/drawingml/2006/picture">
                <pic:pic>
                  <pic:nvPicPr>
                    <pic:cNvPr id="0" name="Figure_3.png"/>
                    <pic:cNvPicPr/>
                  </pic:nvPicPr>
                  <pic:blipFill>
                    <a:blip r:embed="rId13"/>
                    <a:stretch>
                      <a:fillRect/>
                    </a:stretch>
                  </pic:blipFill>
                  <pic:spPr>
                    <a:xfrm>
                      <a:off x="0" y="0"/>
                      <a:ext cx="5394960" cy="3282288"/>
                    </a:xfrm>
                    <a:prstGeom prst="rect"/>
                  </pic:spPr>
                </pic:pic>
              </a:graphicData>
            </a:graphic>
          </wp:inline>
        </w:drawing>
      </w:r>
    </w:p>
    <w:p>
      <w:pPr>
        <w:keepNext w:val="0"/>
        <w:spacing w:before="0" w:after="220"/>
        <w:jc w:val="center"/>
      </w:pPr>
      <w:r>
        <w:rPr>
          <w:rFonts w:ascii="Times New Roman" w:hAnsi="Times New Roman"/>
          <w:b/>
          <w:color w:val="1E1E1E"/>
          <w:sz w:val="21"/>
        </w:rPr>
        <w:t xml:space="preserve">Figure 3. </w:t>
      </w:r>
      <w:r>
        <w:rPr>
          <w:rFonts w:ascii="Times New Roman" w:hAnsi="Times New Roman"/>
          <w:i/>
          <w:color w:val="282828"/>
          <w:sz w:val="21"/>
        </w:rPr>
        <w:t>Normal payments test batch prepared and submitted from the dashboard.</w:t>
      </w:r>
    </w:p>
    <w:p>
      <w:pPr>
        <w:spacing w:after="120" w:line="276" w:lineRule="auto"/>
        <w:jc w:val="both"/>
      </w:pPr>
      <w:r>
        <w:rPr>
          <w:rFonts w:ascii="Times New Roman" w:hAnsi="Times New Roman"/>
          <w:color w:val="000000"/>
          <w:sz w:val="24"/>
        </w:rPr>
        <w:t>Stage 2: Amazon API Gateway Ingestion. API Gateway exposes RESTful routes POST /payments and GET /payments/{payment_id}. Submitting the batch invokes IngestFunction with client idempotency tokens.</w:t>
      </w:r>
    </w:p>
    <w:p>
      <w:pPr>
        <w:keepNext/>
        <w:spacing w:before="160" w:after="80"/>
        <w:jc w:val="center"/>
      </w:pPr>
      <w:r>
        <w:drawing>
          <wp:inline xmlns:a="http://schemas.openxmlformats.org/drawingml/2006/main" xmlns:pic="http://schemas.openxmlformats.org/drawingml/2006/picture">
            <wp:extent cx="5394960" cy="3282288"/>
            <wp:docPr id="5" name="Picture 5"/>
            <wp:cNvGraphicFramePr>
              <a:graphicFrameLocks noChangeAspect="1"/>
            </wp:cNvGraphicFramePr>
            <a:graphic>
              <a:graphicData uri="http://schemas.openxmlformats.org/drawingml/2006/picture">
                <pic:pic>
                  <pic:nvPicPr>
                    <pic:cNvPr id="0" name="Figure_4.png"/>
                    <pic:cNvPicPr/>
                  </pic:nvPicPr>
                  <pic:blipFill>
                    <a:blip r:embed="rId14"/>
                    <a:stretch>
                      <a:fillRect/>
                    </a:stretch>
                  </pic:blipFill>
                  <pic:spPr>
                    <a:xfrm>
                      <a:off x="0" y="0"/>
                      <a:ext cx="5394960" cy="3282288"/>
                    </a:xfrm>
                    <a:prstGeom prst="rect"/>
                  </pic:spPr>
                </pic:pic>
              </a:graphicData>
            </a:graphic>
          </wp:inline>
        </w:drawing>
      </w:r>
    </w:p>
    <w:p>
      <w:pPr>
        <w:keepNext w:val="0"/>
        <w:spacing w:before="0" w:after="220"/>
        <w:jc w:val="center"/>
      </w:pPr>
      <w:r>
        <w:rPr>
          <w:rFonts w:ascii="Times New Roman" w:hAnsi="Times New Roman"/>
          <w:b/>
          <w:color w:val="1E1E1E"/>
          <w:sz w:val="21"/>
        </w:rPr>
        <w:t xml:space="preserve">Figure 4. </w:t>
      </w:r>
      <w:r>
        <w:rPr>
          <w:rFonts w:ascii="Times New Roman" w:hAnsi="Times New Roman"/>
          <w:i/>
          <w:color w:val="282828"/>
          <w:sz w:val="21"/>
        </w:rPr>
        <w:t>Amazon API Gateway HTTP API console routing payments to Lambda.</w:t>
      </w:r>
    </w:p>
    <w:p>
      <w:pPr>
        <w:spacing w:after="120" w:line="276" w:lineRule="auto"/>
        <w:jc w:val="both"/>
      </w:pPr>
      <w:r>
        <w:rPr>
          <w:rFonts w:ascii="Times New Roman" w:hAnsi="Times New Roman"/>
          <w:color w:val="000000"/>
          <w:sz w:val="24"/>
        </w:rPr>
        <w:t>Each payment is validated, accepted, and assigned status PENDING with a unique run ID. No balances have moved at this stage.</w:t>
      </w:r>
    </w:p>
    <w:p>
      <w:pPr>
        <w:keepNext/>
        <w:spacing w:before="160" w:after="80"/>
        <w:jc w:val="center"/>
      </w:pPr>
      <w:r>
        <w:drawing>
          <wp:inline xmlns:a="http://schemas.openxmlformats.org/drawingml/2006/main" xmlns:pic="http://schemas.openxmlformats.org/drawingml/2006/picture">
            <wp:extent cx="5394960" cy="3282288"/>
            <wp:docPr id="6" name="Picture 6"/>
            <wp:cNvGraphicFramePr>
              <a:graphicFrameLocks noChangeAspect="1"/>
            </wp:cNvGraphicFramePr>
            <a:graphic>
              <a:graphicData uri="http://schemas.openxmlformats.org/drawingml/2006/picture">
                <pic:pic>
                  <pic:nvPicPr>
                    <pic:cNvPr id="0" name="Figure_5.png"/>
                    <pic:cNvPicPr/>
                  </pic:nvPicPr>
                  <pic:blipFill>
                    <a:blip r:embed="rId15"/>
                    <a:stretch>
                      <a:fillRect/>
                    </a:stretch>
                  </pic:blipFill>
                  <pic:spPr>
                    <a:xfrm>
                      <a:off x="0" y="0"/>
                      <a:ext cx="5394960" cy="3282288"/>
                    </a:xfrm>
                    <a:prstGeom prst="rect"/>
                  </pic:spPr>
                </pic:pic>
              </a:graphicData>
            </a:graphic>
          </wp:inline>
        </w:drawing>
      </w:r>
    </w:p>
    <w:p>
      <w:pPr>
        <w:keepNext w:val="0"/>
        <w:spacing w:before="0" w:after="220"/>
        <w:jc w:val="center"/>
      </w:pPr>
      <w:r>
        <w:rPr>
          <w:rFonts w:ascii="Times New Roman" w:hAnsi="Times New Roman"/>
          <w:b/>
          <w:color w:val="1E1E1E"/>
          <w:sz w:val="21"/>
        </w:rPr>
        <w:t xml:space="preserve">Figure 5. </w:t>
      </w:r>
      <w:r>
        <w:rPr>
          <w:rFonts w:ascii="Times New Roman" w:hAnsi="Times New Roman"/>
          <w:i/>
          <w:color w:val="282828"/>
          <w:sz w:val="21"/>
        </w:rPr>
        <w:t>API Gateway response showing payments accepted with status PENDING.</w:t>
      </w:r>
    </w:p>
    <w:p>
      <w:pPr>
        <w:spacing w:after="120" w:line="276" w:lineRule="auto"/>
        <w:jc w:val="both"/>
      </w:pPr>
      <w:r>
        <w:rPr>
          <w:rFonts w:ascii="Times New Roman" w:hAnsi="Times New Roman"/>
          <w:color w:val="000000"/>
          <w:sz w:val="24"/>
        </w:rPr>
        <w:t>Stage 3: AWS Lambda Functions &amp; Least-Privilege IAM Roles. The AWS Lambda console displays all deployed serverless functions (ingest, get_payment, poster, collect, net, finalize, reconcile) executing on Python 3.12.</w:t>
      </w:r>
    </w:p>
    <w:p>
      <w:pPr>
        <w:keepNext/>
        <w:spacing w:before="160" w:after="80"/>
        <w:jc w:val="center"/>
      </w:pPr>
      <w:r>
        <w:drawing>
          <wp:inline xmlns:a="http://schemas.openxmlformats.org/drawingml/2006/main" xmlns:pic="http://schemas.openxmlformats.org/drawingml/2006/picture">
            <wp:extent cx="5394960" cy="2585616"/>
            <wp:docPr id="7" name="Picture 7"/>
            <wp:cNvGraphicFramePr>
              <a:graphicFrameLocks noChangeAspect="1"/>
            </wp:cNvGraphicFramePr>
            <a:graphic>
              <a:graphicData uri="http://schemas.openxmlformats.org/drawingml/2006/picture">
                <pic:pic>
                  <pic:nvPicPr>
                    <pic:cNvPr id="0" name="Figure_6.png"/>
                    <pic:cNvPicPr/>
                  </pic:nvPicPr>
                  <pic:blipFill>
                    <a:blip r:embed="rId16"/>
                    <a:stretch>
                      <a:fillRect/>
                    </a:stretch>
                  </pic:blipFill>
                  <pic:spPr>
                    <a:xfrm>
                      <a:off x="0" y="0"/>
                      <a:ext cx="5394960" cy="2585616"/>
                    </a:xfrm>
                    <a:prstGeom prst="rect"/>
                  </pic:spPr>
                </pic:pic>
              </a:graphicData>
            </a:graphic>
          </wp:inline>
        </w:drawing>
      </w:r>
    </w:p>
    <w:p>
      <w:pPr>
        <w:keepNext w:val="0"/>
        <w:spacing w:before="0" w:after="220"/>
        <w:jc w:val="center"/>
      </w:pPr>
      <w:r>
        <w:rPr>
          <w:rFonts w:ascii="Times New Roman" w:hAnsi="Times New Roman"/>
          <w:b/>
          <w:color w:val="1E1E1E"/>
          <w:sz w:val="21"/>
        </w:rPr>
        <w:t xml:space="preserve">Figure 6. </w:t>
      </w:r>
      <w:r>
        <w:rPr>
          <w:rFonts w:ascii="Times New Roman" w:hAnsi="Times New Roman"/>
          <w:i/>
          <w:color w:val="282828"/>
          <w:sz w:val="21"/>
        </w:rPr>
        <w:t>Deployed serverless microservice Lambda functions in AWS ap-south-1.</w:t>
      </w:r>
    </w:p>
    <w:p>
      <w:pPr>
        <w:spacing w:after="120" w:line="276" w:lineRule="auto"/>
        <w:jc w:val="both"/>
      </w:pPr>
      <w:r>
        <w:rPr>
          <w:rFonts w:ascii="Times New Roman" w:hAnsi="Times New Roman"/>
          <w:color w:val="000000"/>
          <w:sz w:val="24"/>
        </w:rPr>
        <w:t>Each Lambda operates under a dedicated least-privilege IAM execution role restricting DynamoDB and S3 access strictly to required table ARNs.</w:t>
      </w:r>
    </w:p>
    <w:p>
      <w:pPr>
        <w:keepNext/>
        <w:spacing w:before="160" w:after="80"/>
        <w:jc w:val="center"/>
      </w:pPr>
      <w:r>
        <w:drawing>
          <wp:inline xmlns:a="http://schemas.openxmlformats.org/drawingml/2006/main" xmlns:pic="http://schemas.openxmlformats.org/drawingml/2006/picture">
            <wp:extent cx="5394960" cy="2596944"/>
            <wp:docPr id="8" name="Picture 8"/>
            <wp:cNvGraphicFramePr>
              <a:graphicFrameLocks noChangeAspect="1"/>
            </wp:cNvGraphicFramePr>
            <a:graphic>
              <a:graphicData uri="http://schemas.openxmlformats.org/drawingml/2006/picture">
                <pic:pic>
                  <pic:nvPicPr>
                    <pic:cNvPr id="0" name="Figure_7.png"/>
                    <pic:cNvPicPr/>
                  </pic:nvPicPr>
                  <pic:blipFill>
                    <a:blip r:embed="rId17"/>
                    <a:stretch>
                      <a:fillRect/>
                    </a:stretch>
                  </pic:blipFill>
                  <pic:spPr>
                    <a:xfrm>
                      <a:off x="0" y="0"/>
                      <a:ext cx="5394960" cy="2596944"/>
                    </a:xfrm>
                    <a:prstGeom prst="rect"/>
                  </pic:spPr>
                </pic:pic>
              </a:graphicData>
            </a:graphic>
          </wp:inline>
        </w:drawing>
      </w:r>
    </w:p>
    <w:p>
      <w:pPr>
        <w:keepNext w:val="0"/>
        <w:spacing w:before="0" w:after="220"/>
        <w:jc w:val="center"/>
      </w:pPr>
      <w:r>
        <w:rPr>
          <w:rFonts w:ascii="Times New Roman" w:hAnsi="Times New Roman"/>
          <w:b/>
          <w:color w:val="1E1E1E"/>
          <w:sz w:val="21"/>
        </w:rPr>
        <w:t xml:space="preserve">Figure 7. </w:t>
      </w:r>
      <w:r>
        <w:rPr>
          <w:rFonts w:ascii="Times New Roman" w:hAnsi="Times New Roman"/>
          <w:i/>
          <w:color w:val="282828"/>
          <w:sz w:val="21"/>
        </w:rPr>
        <w:t>IAM least-privilege execution role policies for IngestFunction.</w:t>
      </w:r>
    </w:p>
    <w:p>
      <w:pPr>
        <w:spacing w:after="120" w:line="276" w:lineRule="auto"/>
        <w:jc w:val="both"/>
      </w:pPr>
      <w:r>
        <w:rPr>
          <w:rFonts w:ascii="Times New Roman" w:hAnsi="Times New Roman"/>
          <w:color w:val="000000"/>
          <w:sz w:val="24"/>
        </w:rPr>
        <w:t>Stage 4: DynamoDB Persistent Storage. The DynamoDB console confirms the four provisioned tables (PaymentsTable, AccountsTable, LedgerTable, SettlementsTable).</w:t>
      </w:r>
    </w:p>
    <w:p>
      <w:pPr>
        <w:keepNext/>
        <w:spacing w:before="160" w:after="80"/>
        <w:jc w:val="center"/>
      </w:pPr>
      <w:r>
        <w:drawing>
          <wp:inline xmlns:a="http://schemas.openxmlformats.org/drawingml/2006/main" xmlns:pic="http://schemas.openxmlformats.org/drawingml/2006/picture">
            <wp:extent cx="5394960" cy="3282288"/>
            <wp:docPr id="9" name="Picture 9"/>
            <wp:cNvGraphicFramePr>
              <a:graphicFrameLocks noChangeAspect="1"/>
            </wp:cNvGraphicFramePr>
            <a:graphic>
              <a:graphicData uri="http://schemas.openxmlformats.org/drawingml/2006/picture">
                <pic:pic>
                  <pic:nvPicPr>
                    <pic:cNvPr id="0" name="Figure_8.png"/>
                    <pic:cNvPicPr/>
                  </pic:nvPicPr>
                  <pic:blipFill>
                    <a:blip r:embed="rId18"/>
                    <a:stretch>
                      <a:fillRect/>
                    </a:stretch>
                  </pic:blipFill>
                  <pic:spPr>
                    <a:xfrm>
                      <a:off x="0" y="0"/>
                      <a:ext cx="5394960" cy="3282288"/>
                    </a:xfrm>
                    <a:prstGeom prst="rect"/>
                  </pic:spPr>
                </pic:pic>
              </a:graphicData>
            </a:graphic>
          </wp:inline>
        </w:drawing>
      </w:r>
    </w:p>
    <w:p>
      <w:pPr>
        <w:keepNext w:val="0"/>
        <w:spacing w:before="0" w:after="220"/>
        <w:jc w:val="center"/>
      </w:pPr>
      <w:r>
        <w:rPr>
          <w:rFonts w:ascii="Times New Roman" w:hAnsi="Times New Roman"/>
          <w:b/>
          <w:color w:val="1E1E1E"/>
          <w:sz w:val="21"/>
        </w:rPr>
        <w:t xml:space="preserve">Figure 8. </w:t>
      </w:r>
      <w:r>
        <w:rPr>
          <w:rFonts w:ascii="Times New Roman" w:hAnsi="Times New Roman"/>
          <w:i/>
          <w:color w:val="282828"/>
          <w:sz w:val="21"/>
        </w:rPr>
        <w:t>Persistent DynamoDB tables provisioned by AWS SAM CloudFormation.</w:t>
      </w:r>
    </w:p>
    <w:p>
      <w:pPr>
        <w:spacing w:after="120" w:line="276" w:lineRule="auto"/>
        <w:jc w:val="both"/>
      </w:pPr>
      <w:r>
        <w:rPr>
          <w:rFonts w:ascii="Times New Roman" w:hAnsi="Times New Roman"/>
          <w:color w:val="000000"/>
          <w:sz w:val="24"/>
        </w:rPr>
        <w:t>Querying PaymentsTable reveals the newly ingested batch records stored with status PENDING before settlement initiation.</w:t>
      </w:r>
    </w:p>
    <w:p>
      <w:pPr>
        <w:keepNext/>
        <w:spacing w:before="160" w:after="80"/>
        <w:jc w:val="center"/>
      </w:pPr>
      <w:r>
        <w:drawing>
          <wp:inline xmlns:a="http://schemas.openxmlformats.org/drawingml/2006/main" xmlns:pic="http://schemas.openxmlformats.org/drawingml/2006/picture">
            <wp:extent cx="5394960" cy="2764032"/>
            <wp:docPr id="10" name="Picture 10"/>
            <wp:cNvGraphicFramePr>
              <a:graphicFrameLocks noChangeAspect="1"/>
            </wp:cNvGraphicFramePr>
            <a:graphic>
              <a:graphicData uri="http://schemas.openxmlformats.org/drawingml/2006/picture">
                <pic:pic>
                  <pic:nvPicPr>
                    <pic:cNvPr id="0" name="Figure_9.png"/>
                    <pic:cNvPicPr/>
                  </pic:nvPicPr>
                  <pic:blipFill>
                    <a:blip r:embed="rId19"/>
                    <a:stretch>
                      <a:fillRect/>
                    </a:stretch>
                  </pic:blipFill>
                  <pic:spPr>
                    <a:xfrm>
                      <a:off x="0" y="0"/>
                      <a:ext cx="5394960" cy="2764032"/>
                    </a:xfrm>
                    <a:prstGeom prst="rect"/>
                  </pic:spPr>
                </pic:pic>
              </a:graphicData>
            </a:graphic>
          </wp:inline>
        </w:drawing>
      </w:r>
    </w:p>
    <w:p>
      <w:pPr>
        <w:keepNext w:val="0"/>
        <w:spacing w:before="0" w:after="220"/>
        <w:jc w:val="center"/>
      </w:pPr>
      <w:r>
        <w:rPr>
          <w:rFonts w:ascii="Times New Roman" w:hAnsi="Times New Roman"/>
          <w:b/>
          <w:color w:val="1E1E1E"/>
          <w:sz w:val="21"/>
        </w:rPr>
        <w:t xml:space="preserve">Figure 9. </w:t>
      </w:r>
      <w:r>
        <w:rPr>
          <w:rFonts w:ascii="Times New Roman" w:hAnsi="Times New Roman"/>
          <w:i/>
          <w:color w:val="282828"/>
          <w:sz w:val="21"/>
        </w:rPr>
        <w:t>PaymentsTable query confirming demo batch stored with status PENDING.</w:t>
      </w:r>
    </w:p>
    <w:p>
      <w:pPr>
        <w:spacing w:after="120" w:line="276" w:lineRule="auto"/>
        <w:jc w:val="both"/>
      </w:pPr>
      <w:r>
        <w:rPr>
          <w:rFonts w:ascii="Times New Roman" w:hAnsi="Times New Roman"/>
          <w:color w:val="000000"/>
          <w:sz w:val="24"/>
        </w:rPr>
        <w:t>Stage 5: Amazon SQS Queue &amp; Dead-Letter Queue (DLQ). The PaymentsQueue handles real-time Mode 0 transfers, backed by PaymentsDLQ with maxReceiveCount = 3.</w:t>
      </w:r>
    </w:p>
    <w:p>
      <w:pPr>
        <w:keepNext/>
        <w:spacing w:before="160" w:after="80"/>
        <w:jc w:val="center"/>
      </w:pPr>
      <w:r>
        <w:drawing>
          <wp:inline xmlns:a="http://schemas.openxmlformats.org/drawingml/2006/main" xmlns:pic="http://schemas.openxmlformats.org/drawingml/2006/picture">
            <wp:extent cx="5394960" cy="3282288"/>
            <wp:docPr id="11" name="Picture 11"/>
            <wp:cNvGraphicFramePr>
              <a:graphicFrameLocks noChangeAspect="1"/>
            </wp:cNvGraphicFramePr>
            <a:graphic>
              <a:graphicData uri="http://schemas.openxmlformats.org/drawingml/2006/picture">
                <pic:pic>
                  <pic:nvPicPr>
                    <pic:cNvPr id="0" name="Figure_10.png"/>
                    <pic:cNvPicPr/>
                  </pic:nvPicPr>
                  <pic:blipFill>
                    <a:blip r:embed="rId20"/>
                    <a:stretch>
                      <a:fillRect/>
                    </a:stretch>
                  </pic:blipFill>
                  <pic:spPr>
                    <a:xfrm>
                      <a:off x="0" y="0"/>
                      <a:ext cx="5394960" cy="3282288"/>
                    </a:xfrm>
                    <a:prstGeom prst="rect"/>
                  </pic:spPr>
                </pic:pic>
              </a:graphicData>
            </a:graphic>
          </wp:inline>
        </w:drawing>
      </w:r>
    </w:p>
    <w:p>
      <w:pPr>
        <w:keepNext w:val="0"/>
        <w:spacing w:before="0" w:after="220"/>
        <w:jc w:val="center"/>
      </w:pPr>
      <w:r>
        <w:rPr>
          <w:rFonts w:ascii="Times New Roman" w:hAnsi="Times New Roman"/>
          <w:b/>
          <w:color w:val="1E1E1E"/>
          <w:sz w:val="21"/>
        </w:rPr>
        <w:t xml:space="preserve">Figure 10. </w:t>
      </w:r>
      <w:r>
        <w:rPr>
          <w:rFonts w:ascii="Times New Roman" w:hAnsi="Times New Roman"/>
          <w:i/>
          <w:color w:val="282828"/>
          <w:sz w:val="21"/>
        </w:rPr>
        <w:t>Amazon SQS PaymentsQueue and Dead-Letter Queue (DLQ) in AWS console.</w:t>
      </w:r>
    </w:p>
    <w:p>
      <w:pPr>
        <w:spacing w:after="120" w:line="276" w:lineRule="auto"/>
        <w:jc w:val="both"/>
      </w:pPr>
      <w:r>
        <w:rPr>
          <w:rFonts w:ascii="Times New Roman" w:hAnsi="Times New Roman"/>
          <w:color w:val="000000"/>
          <w:sz w:val="24"/>
        </w:rPr>
        <w:t>Stage 6: AWS Step Functions Settlement Orchestration. The operator initiates cloud settlement by triggering LiquiditySettlementStateMachine.</w:t>
      </w:r>
    </w:p>
    <w:p>
      <w:pPr>
        <w:keepNext/>
        <w:spacing w:before="160" w:after="80"/>
        <w:jc w:val="center"/>
      </w:pPr>
      <w:r>
        <w:drawing>
          <wp:inline xmlns:a="http://schemas.openxmlformats.org/drawingml/2006/main" xmlns:pic="http://schemas.openxmlformats.org/drawingml/2006/picture">
            <wp:extent cx="5394960" cy="3282288"/>
            <wp:docPr id="12" name="Picture 12"/>
            <wp:cNvGraphicFramePr>
              <a:graphicFrameLocks noChangeAspect="1"/>
            </wp:cNvGraphicFramePr>
            <a:graphic>
              <a:graphicData uri="http://schemas.openxmlformats.org/drawingml/2006/picture">
                <pic:pic>
                  <pic:nvPicPr>
                    <pic:cNvPr id="0" name="Figure_11.png"/>
                    <pic:cNvPicPr/>
                  </pic:nvPicPr>
                  <pic:blipFill>
                    <a:blip r:embed="rId21"/>
                    <a:stretch>
                      <a:fillRect/>
                    </a:stretch>
                  </pic:blipFill>
                  <pic:spPr>
                    <a:xfrm>
                      <a:off x="0" y="0"/>
                      <a:ext cx="5394960" cy="3282288"/>
                    </a:xfrm>
                    <a:prstGeom prst="rect"/>
                  </pic:spPr>
                </pic:pic>
              </a:graphicData>
            </a:graphic>
          </wp:inline>
        </w:drawing>
      </w:r>
    </w:p>
    <w:p>
      <w:pPr>
        <w:keepNext w:val="0"/>
        <w:spacing w:before="0" w:after="220"/>
        <w:jc w:val="center"/>
      </w:pPr>
      <w:r>
        <w:rPr>
          <w:rFonts w:ascii="Times New Roman" w:hAnsi="Times New Roman"/>
          <w:b/>
          <w:color w:val="1E1E1E"/>
          <w:sz w:val="21"/>
        </w:rPr>
        <w:t xml:space="preserve">Figure 11. </w:t>
      </w:r>
      <w:r>
        <w:rPr>
          <w:rFonts w:ascii="Times New Roman" w:hAnsi="Times New Roman"/>
          <w:i/>
          <w:color w:val="282828"/>
          <w:sz w:val="21"/>
        </w:rPr>
        <w:t>Triggering batch settlement state machine from operator dashboard.</w:t>
      </w:r>
    </w:p>
    <w:p>
      <w:pPr>
        <w:spacing w:after="120" w:line="276" w:lineRule="auto"/>
        <w:jc w:val="both"/>
      </w:pPr>
      <w:r>
        <w:rPr>
          <w:rFonts w:ascii="Times New Roman" w:hAnsi="Times New Roman"/>
          <w:color w:val="000000"/>
          <w:sz w:val="24"/>
        </w:rPr>
        <w:t>The Step Functions console displays the complete execution history, showing the active dashboard-initiated execution run.</w:t>
      </w:r>
    </w:p>
    <w:p>
      <w:pPr>
        <w:keepNext/>
        <w:spacing w:before="160" w:after="80"/>
        <w:jc w:val="center"/>
      </w:pPr>
      <w:r>
        <w:drawing>
          <wp:inline xmlns:a="http://schemas.openxmlformats.org/drawingml/2006/main" xmlns:pic="http://schemas.openxmlformats.org/drawingml/2006/picture">
            <wp:extent cx="5394960" cy="2574288"/>
            <wp:docPr id="13" name="Picture 13"/>
            <wp:cNvGraphicFramePr>
              <a:graphicFrameLocks noChangeAspect="1"/>
            </wp:cNvGraphicFramePr>
            <a:graphic>
              <a:graphicData uri="http://schemas.openxmlformats.org/drawingml/2006/picture">
                <pic:pic>
                  <pic:nvPicPr>
                    <pic:cNvPr id="0" name="Figure_12.png"/>
                    <pic:cNvPicPr/>
                  </pic:nvPicPr>
                  <pic:blipFill>
                    <a:blip r:embed="rId22"/>
                    <a:stretch>
                      <a:fillRect/>
                    </a:stretch>
                  </pic:blipFill>
                  <pic:spPr>
                    <a:xfrm>
                      <a:off x="0" y="0"/>
                      <a:ext cx="5394960" cy="2574288"/>
                    </a:xfrm>
                    <a:prstGeom prst="rect"/>
                  </pic:spPr>
                </pic:pic>
              </a:graphicData>
            </a:graphic>
          </wp:inline>
        </w:drawing>
      </w:r>
    </w:p>
    <w:p>
      <w:pPr>
        <w:keepNext w:val="0"/>
        <w:spacing w:before="0" w:after="220"/>
        <w:jc w:val="center"/>
      </w:pPr>
      <w:r>
        <w:rPr>
          <w:rFonts w:ascii="Times New Roman" w:hAnsi="Times New Roman"/>
          <w:b/>
          <w:color w:val="1E1E1E"/>
          <w:sz w:val="21"/>
        </w:rPr>
        <w:t xml:space="preserve">Figure 12. </w:t>
      </w:r>
      <w:r>
        <w:rPr>
          <w:rFonts w:ascii="Times New Roman" w:hAnsi="Times New Roman"/>
          <w:i/>
          <w:color w:val="282828"/>
          <w:sz w:val="21"/>
        </w:rPr>
        <w:t>LiquiditySettlementStateMachine execution history in AWS Step Functions.</w:t>
      </w:r>
    </w:p>
    <w:p>
      <w:pPr>
        <w:spacing w:after="120" w:line="276" w:lineRule="auto"/>
        <w:jc w:val="both"/>
      </w:pPr>
      <w:r>
        <w:rPr>
          <w:rFonts w:ascii="Times New Roman" w:hAnsi="Times New Roman"/>
          <w:color w:val="000000"/>
          <w:sz w:val="24"/>
        </w:rPr>
        <w:t>The visual execution graph tracks the workflow progression through CollectPending, AnyPending?, and SettlePending Lambda tasks.</w:t>
      </w:r>
    </w:p>
    <w:p>
      <w:pPr>
        <w:keepNext/>
        <w:spacing w:before="160" w:after="80"/>
        <w:jc w:val="center"/>
      </w:pPr>
      <w:r>
        <w:drawing>
          <wp:inline xmlns:a="http://schemas.openxmlformats.org/drawingml/2006/main" xmlns:pic="http://schemas.openxmlformats.org/drawingml/2006/picture">
            <wp:extent cx="5394960" cy="2599776"/>
            <wp:docPr id="14" name="Picture 14"/>
            <wp:cNvGraphicFramePr>
              <a:graphicFrameLocks noChangeAspect="1"/>
            </wp:cNvGraphicFramePr>
            <a:graphic>
              <a:graphicData uri="http://schemas.openxmlformats.org/drawingml/2006/picture">
                <pic:pic>
                  <pic:nvPicPr>
                    <pic:cNvPr id="0" name="Figure_13.png"/>
                    <pic:cNvPicPr/>
                  </pic:nvPicPr>
                  <pic:blipFill>
                    <a:blip r:embed="rId23"/>
                    <a:stretch>
                      <a:fillRect/>
                    </a:stretch>
                  </pic:blipFill>
                  <pic:spPr>
                    <a:xfrm>
                      <a:off x="0" y="0"/>
                      <a:ext cx="5394960" cy="2599776"/>
                    </a:xfrm>
                    <a:prstGeom prst="rect"/>
                  </pic:spPr>
                </pic:pic>
              </a:graphicData>
            </a:graphic>
          </wp:inline>
        </w:drawing>
      </w:r>
    </w:p>
    <w:p>
      <w:pPr>
        <w:keepNext w:val="0"/>
        <w:spacing w:before="0" w:after="220"/>
        <w:jc w:val="center"/>
      </w:pPr>
      <w:r>
        <w:rPr>
          <w:rFonts w:ascii="Times New Roman" w:hAnsi="Times New Roman"/>
          <w:b/>
          <w:color w:val="1E1E1E"/>
          <w:sz w:val="21"/>
        </w:rPr>
        <w:t xml:space="preserve">Figure 13. </w:t>
      </w:r>
      <w:r>
        <w:rPr>
          <w:rFonts w:ascii="Times New Roman" w:hAnsi="Times New Roman"/>
          <w:i/>
          <w:color w:val="282828"/>
          <w:sz w:val="21"/>
        </w:rPr>
        <w:t>Step Functions visual state transition graph and event log of successful run.</w:t>
      </w:r>
    </w:p>
    <w:p>
      <w:pPr>
        <w:spacing w:after="120" w:line="276" w:lineRule="auto"/>
        <w:jc w:val="both"/>
      </w:pPr>
      <w:r>
        <w:rPr>
          <w:rFonts w:ascii="Times New Roman" w:hAnsi="Times New Roman"/>
          <w:color w:val="000000"/>
          <w:sz w:val="24"/>
        </w:rPr>
        <w:t>The workflow concludes with status SUCCEEDED. The dashboard reports 3/3 payments settled, 0 deferred, 3/3 ledger checks verified, and balance conservation PASS.</w:t>
      </w:r>
    </w:p>
    <w:p>
      <w:pPr>
        <w:keepNext/>
        <w:spacing w:before="160" w:after="80"/>
        <w:jc w:val="center"/>
      </w:pPr>
      <w:r>
        <w:drawing>
          <wp:inline xmlns:a="http://schemas.openxmlformats.org/drawingml/2006/main" xmlns:pic="http://schemas.openxmlformats.org/drawingml/2006/picture">
            <wp:extent cx="5394960" cy="3282288"/>
            <wp:docPr id="15" name="Picture 15"/>
            <wp:cNvGraphicFramePr>
              <a:graphicFrameLocks noChangeAspect="1"/>
            </wp:cNvGraphicFramePr>
            <a:graphic>
              <a:graphicData uri="http://schemas.openxmlformats.org/drawingml/2006/picture">
                <pic:pic>
                  <pic:nvPicPr>
                    <pic:cNvPr id="0" name="Figure_14.png"/>
                    <pic:cNvPicPr/>
                  </pic:nvPicPr>
                  <pic:blipFill>
                    <a:blip r:embed="rId24"/>
                    <a:stretch>
                      <a:fillRect/>
                    </a:stretch>
                  </pic:blipFill>
                  <pic:spPr>
                    <a:xfrm>
                      <a:off x="0" y="0"/>
                      <a:ext cx="5394960" cy="3282288"/>
                    </a:xfrm>
                    <a:prstGeom prst="rect"/>
                  </pic:spPr>
                </pic:pic>
              </a:graphicData>
            </a:graphic>
          </wp:inline>
        </w:drawing>
      </w:r>
    </w:p>
    <w:p>
      <w:pPr>
        <w:keepNext w:val="0"/>
        <w:spacing w:before="0" w:after="220"/>
        <w:jc w:val="center"/>
      </w:pPr>
      <w:r>
        <w:rPr>
          <w:rFonts w:ascii="Times New Roman" w:hAnsi="Times New Roman"/>
          <w:b/>
          <w:color w:val="1E1E1E"/>
          <w:sz w:val="21"/>
        </w:rPr>
        <w:t xml:space="preserve">Figure 14. </w:t>
      </w:r>
      <w:r>
        <w:rPr>
          <w:rFonts w:ascii="Times New Roman" w:hAnsi="Times New Roman"/>
          <w:i/>
          <w:color w:val="282828"/>
          <w:sz w:val="21"/>
        </w:rPr>
        <w:t>Step Functions execution SUCCEEDED with 3/3 settled and balance conservation PASS.</w:t>
      </w:r>
    </w:p>
    <w:p>
      <w:pPr>
        <w:spacing w:after="120" w:line="276" w:lineRule="auto"/>
        <w:jc w:val="both"/>
      </w:pPr>
      <w:r>
        <w:rPr>
          <w:rFonts w:ascii="Times New Roman" w:hAnsi="Times New Roman"/>
          <w:color w:val="000000"/>
          <w:sz w:val="24"/>
        </w:rPr>
        <w:t>Stage 7: S3 Storage and DynamoDB Settlement Commitment. S3 DataBucket stores the window snapshot and frozen SHA-256 approved plan.</w:t>
      </w:r>
    </w:p>
    <w:p>
      <w:pPr>
        <w:keepNext/>
        <w:spacing w:before="160" w:after="80"/>
        <w:jc w:val="center"/>
      </w:pPr>
      <w:r>
        <w:drawing>
          <wp:inline xmlns:a="http://schemas.openxmlformats.org/drawingml/2006/main" xmlns:pic="http://schemas.openxmlformats.org/drawingml/2006/picture">
            <wp:extent cx="5394960" cy="3293616"/>
            <wp:docPr id="16" name="Picture 16"/>
            <wp:cNvGraphicFramePr>
              <a:graphicFrameLocks noChangeAspect="1"/>
            </wp:cNvGraphicFramePr>
            <a:graphic>
              <a:graphicData uri="http://schemas.openxmlformats.org/drawingml/2006/picture">
                <pic:pic>
                  <pic:nvPicPr>
                    <pic:cNvPr id="0" name="Figure_15.png"/>
                    <pic:cNvPicPr/>
                  </pic:nvPicPr>
                  <pic:blipFill>
                    <a:blip r:embed="rId25"/>
                    <a:stretch>
                      <a:fillRect/>
                    </a:stretch>
                  </pic:blipFill>
                  <pic:spPr>
                    <a:xfrm>
                      <a:off x="0" y="0"/>
                      <a:ext cx="5394960" cy="3293616"/>
                    </a:xfrm>
                    <a:prstGeom prst="rect"/>
                  </pic:spPr>
                </pic:pic>
              </a:graphicData>
            </a:graphic>
          </wp:inline>
        </w:drawing>
      </w:r>
    </w:p>
    <w:p>
      <w:pPr>
        <w:keepNext w:val="0"/>
        <w:spacing w:before="0" w:after="220"/>
        <w:jc w:val="center"/>
      </w:pPr>
      <w:r>
        <w:rPr>
          <w:rFonts w:ascii="Times New Roman" w:hAnsi="Times New Roman"/>
          <w:b/>
          <w:color w:val="1E1E1E"/>
          <w:sz w:val="21"/>
        </w:rPr>
        <w:t xml:space="preserve">Figure 15. </w:t>
      </w:r>
      <w:r>
        <w:rPr>
          <w:rFonts w:ascii="Times New Roman" w:hAnsi="Times New Roman"/>
          <w:i/>
          <w:color w:val="282828"/>
          <w:sz w:val="21"/>
        </w:rPr>
        <w:t>Amazon S3 bucket storing settlement window snapshots and frozen plans.</w:t>
      </w:r>
    </w:p>
    <w:p>
      <w:pPr>
        <w:spacing w:after="120" w:line="276" w:lineRule="auto"/>
        <w:jc w:val="both"/>
      </w:pPr>
      <w:r>
        <w:rPr>
          <w:rFonts w:ascii="Times New Roman" w:hAnsi="Times New Roman"/>
          <w:color w:val="000000"/>
          <w:sz w:val="24"/>
        </w:rPr>
        <w:t>Querying PaymentsTable confirms that all three payments have transitioned from PENDING to SETTLED with settled_at timestamps and window_id associations.</w:t>
      </w:r>
    </w:p>
    <w:p>
      <w:pPr>
        <w:keepNext/>
        <w:spacing w:before="160" w:after="80"/>
        <w:jc w:val="center"/>
      </w:pPr>
      <w:r>
        <w:drawing>
          <wp:inline xmlns:a="http://schemas.openxmlformats.org/drawingml/2006/main" xmlns:pic="http://schemas.openxmlformats.org/drawingml/2006/picture">
            <wp:extent cx="5394960" cy="2741376"/>
            <wp:docPr id="17" name="Picture 17"/>
            <wp:cNvGraphicFramePr>
              <a:graphicFrameLocks noChangeAspect="1"/>
            </wp:cNvGraphicFramePr>
            <a:graphic>
              <a:graphicData uri="http://schemas.openxmlformats.org/drawingml/2006/picture">
                <pic:pic>
                  <pic:nvPicPr>
                    <pic:cNvPr id="0" name="Figure_16.png"/>
                    <pic:cNvPicPr/>
                  </pic:nvPicPr>
                  <pic:blipFill>
                    <a:blip r:embed="rId26"/>
                    <a:stretch>
                      <a:fillRect/>
                    </a:stretch>
                  </pic:blipFill>
                  <pic:spPr>
                    <a:xfrm>
                      <a:off x="0" y="0"/>
                      <a:ext cx="5394960" cy="2741376"/>
                    </a:xfrm>
                    <a:prstGeom prst="rect"/>
                  </pic:spPr>
                </pic:pic>
              </a:graphicData>
            </a:graphic>
          </wp:inline>
        </w:drawing>
      </w:r>
    </w:p>
    <w:p>
      <w:pPr>
        <w:keepNext w:val="0"/>
        <w:spacing w:before="0" w:after="220"/>
        <w:jc w:val="center"/>
      </w:pPr>
      <w:r>
        <w:rPr>
          <w:rFonts w:ascii="Times New Roman" w:hAnsi="Times New Roman"/>
          <w:b/>
          <w:color w:val="1E1E1E"/>
          <w:sz w:val="21"/>
        </w:rPr>
        <w:t xml:space="preserve">Figure 16. </w:t>
      </w:r>
      <w:r>
        <w:rPr>
          <w:rFonts w:ascii="Times New Roman" w:hAnsi="Times New Roman"/>
          <w:i/>
          <w:color w:val="282828"/>
          <w:sz w:val="21"/>
        </w:rPr>
        <w:t>PaymentsTable records updated to status SETTLED following state machine execution.</w:t>
      </w:r>
    </w:p>
    <w:p>
      <w:pPr>
        <w:spacing w:after="120" w:line="276" w:lineRule="auto"/>
        <w:jc w:val="both"/>
      </w:pPr>
      <w:r>
        <w:rPr>
          <w:rFonts w:ascii="Times New Roman" w:hAnsi="Times New Roman"/>
          <w:color w:val="000000"/>
          <w:sz w:val="24"/>
        </w:rPr>
        <w:t>Stage 8: Dashboard Verification and Double-Entry Ledger Validation. The dashboard cross-verifies cloud records: Bank A = INR 968.00 (-5), Bank B = INR 1,012.00 (+3), Bank C = INR 1,020.00 (+2). The sum remains exactly INR 3,000.00.</w:t>
      </w:r>
    </w:p>
    <w:p>
      <w:pPr>
        <w:keepNext/>
        <w:spacing w:before="160" w:after="80"/>
        <w:jc w:val="center"/>
      </w:pPr>
      <w:r>
        <w:drawing>
          <wp:inline xmlns:a="http://schemas.openxmlformats.org/drawingml/2006/main" xmlns:pic="http://schemas.openxmlformats.org/drawingml/2006/picture">
            <wp:extent cx="5394960" cy="3296448"/>
            <wp:docPr id="18" name="Picture 18"/>
            <wp:cNvGraphicFramePr>
              <a:graphicFrameLocks noChangeAspect="1"/>
            </wp:cNvGraphicFramePr>
            <a:graphic>
              <a:graphicData uri="http://schemas.openxmlformats.org/drawingml/2006/picture">
                <pic:pic>
                  <pic:nvPicPr>
                    <pic:cNvPr id="0" name="Figure_17.png"/>
                    <pic:cNvPicPr/>
                  </pic:nvPicPr>
                  <pic:blipFill>
                    <a:blip r:embed="rId27"/>
                    <a:stretch>
                      <a:fillRect/>
                    </a:stretch>
                  </pic:blipFill>
                  <pic:spPr>
                    <a:xfrm>
                      <a:off x="0" y="0"/>
                      <a:ext cx="5394960" cy="3296448"/>
                    </a:xfrm>
                    <a:prstGeom prst="rect"/>
                  </pic:spPr>
                </pic:pic>
              </a:graphicData>
            </a:graphic>
          </wp:inline>
        </w:drawing>
      </w:r>
    </w:p>
    <w:p>
      <w:pPr>
        <w:keepNext w:val="0"/>
        <w:spacing w:before="0" w:after="220"/>
        <w:jc w:val="center"/>
      </w:pPr>
      <w:r>
        <w:rPr>
          <w:rFonts w:ascii="Times New Roman" w:hAnsi="Times New Roman"/>
          <w:b/>
          <w:color w:val="1E1E1E"/>
          <w:sz w:val="21"/>
        </w:rPr>
        <w:t xml:space="preserve">Figure 17. </w:t>
      </w:r>
      <w:r>
        <w:rPr>
          <w:rFonts w:ascii="Times New Roman" w:hAnsi="Times New Roman"/>
          <w:i/>
          <w:color w:val="282828"/>
          <w:sz w:val="21"/>
        </w:rPr>
        <w:t>Final dashboard verification table confirming double-entry ledger entries and balance conservation.</w:t>
      </w:r>
    </w:p>
    <w:p>
      <w:pPr>
        <w:keepNext/>
        <w:spacing w:before="260" w:after="80"/>
      </w:pPr>
      <w:r>
        <w:rPr>
          <w:rFonts w:ascii="Times New Roman" w:hAnsi="Times New Roman"/>
          <w:b/>
          <w:color w:val="1E1E1E"/>
          <w:sz w:val="28"/>
        </w:rPr>
        <w:t>9.2 Scenario 2: Insufficient Liquidity and Overdraft Prevention</w:t>
      </w:r>
    </w:p>
    <w:p>
      <w:pPr>
        <w:spacing w:after="120" w:line="276" w:lineRule="auto"/>
        <w:jc w:val="both"/>
      </w:pPr>
      <w:r>
        <w:rPr>
          <w:rFonts w:ascii="Times New Roman" w:hAnsi="Times New Roman"/>
          <w:color w:val="000000"/>
          <w:sz w:val="24"/>
        </w:rPr>
        <w:t>Scenario 2 evaluates the engine's fault tolerance under severe liquidity deficit. Bank A (current balance INR 968.00) attempts to submit a transfer of INR 1,068.00 to Bank B. The payment exceeds Bank A's balance by INR 100.00 with no incoming transfers to offset it. ClearPay must safely defer the payment rather than allowing an unauthorized overdraft.</w:t>
      </w:r>
    </w:p>
    <w:p>
      <w:pPr>
        <w:keepNext/>
        <w:spacing w:before="160" w:after="80"/>
        <w:jc w:val="center"/>
      </w:pPr>
      <w:r>
        <w:drawing>
          <wp:inline xmlns:a="http://schemas.openxmlformats.org/drawingml/2006/main" xmlns:pic="http://schemas.openxmlformats.org/drawingml/2006/picture">
            <wp:extent cx="5394960" cy="3293616"/>
            <wp:docPr id="19" name="Picture 19"/>
            <wp:cNvGraphicFramePr>
              <a:graphicFrameLocks noChangeAspect="1"/>
            </wp:cNvGraphicFramePr>
            <a:graphic>
              <a:graphicData uri="http://schemas.openxmlformats.org/drawingml/2006/picture">
                <pic:pic>
                  <pic:nvPicPr>
                    <pic:cNvPr id="0" name="Figure_18.png"/>
                    <pic:cNvPicPr/>
                  </pic:nvPicPr>
                  <pic:blipFill>
                    <a:blip r:embed="rId28"/>
                    <a:stretch>
                      <a:fillRect/>
                    </a:stretch>
                  </pic:blipFill>
                  <pic:spPr>
                    <a:xfrm>
                      <a:off x="0" y="0"/>
                      <a:ext cx="5394960" cy="3293616"/>
                    </a:xfrm>
                    <a:prstGeom prst="rect"/>
                  </pic:spPr>
                </pic:pic>
              </a:graphicData>
            </a:graphic>
          </wp:inline>
        </w:drawing>
      </w:r>
    </w:p>
    <w:p>
      <w:pPr>
        <w:keepNext w:val="0"/>
        <w:spacing w:before="0" w:after="220"/>
        <w:jc w:val="center"/>
      </w:pPr>
      <w:r>
        <w:rPr>
          <w:rFonts w:ascii="Times New Roman" w:hAnsi="Times New Roman"/>
          <w:b/>
          <w:color w:val="1E1E1E"/>
          <w:sz w:val="21"/>
        </w:rPr>
        <w:t xml:space="preserve">Figure 18. </w:t>
      </w:r>
      <w:r>
        <w:rPr>
          <w:rFonts w:ascii="Times New Roman" w:hAnsi="Times New Roman"/>
          <w:i/>
          <w:color w:val="282828"/>
          <w:sz w:val="21"/>
        </w:rPr>
        <w:t>Insufficient liquidity test scenario: INR 1,068.00 payment from Bank A (balance INR 968.00).</w:t>
      </w:r>
    </w:p>
    <w:p>
      <w:pPr>
        <w:spacing w:after="120" w:line="276" w:lineRule="auto"/>
        <w:jc w:val="both"/>
      </w:pPr>
      <w:r>
        <w:rPr>
          <w:rFonts w:ascii="Times New Roman" w:hAnsi="Times New Roman"/>
          <w:color w:val="000000"/>
          <w:sz w:val="24"/>
        </w:rPr>
        <w:t>The payment is submitted to API Gateway and accepted into PaymentsTable with status PENDING.</w:t>
      </w:r>
    </w:p>
    <w:p>
      <w:pPr>
        <w:keepNext/>
        <w:spacing w:before="160" w:after="80"/>
        <w:jc w:val="center"/>
      </w:pPr>
      <w:r>
        <w:drawing>
          <wp:inline xmlns:a="http://schemas.openxmlformats.org/drawingml/2006/main" xmlns:pic="http://schemas.openxmlformats.org/drawingml/2006/picture">
            <wp:extent cx="5394960" cy="3282288"/>
            <wp:docPr id="20" name="Picture 20"/>
            <wp:cNvGraphicFramePr>
              <a:graphicFrameLocks noChangeAspect="1"/>
            </wp:cNvGraphicFramePr>
            <a:graphic>
              <a:graphicData uri="http://schemas.openxmlformats.org/drawingml/2006/picture">
                <pic:pic>
                  <pic:nvPicPr>
                    <pic:cNvPr id="0" name="Figure_19.png"/>
                    <pic:cNvPicPr/>
                  </pic:nvPicPr>
                  <pic:blipFill>
                    <a:blip r:embed="rId29"/>
                    <a:stretch>
                      <a:fillRect/>
                    </a:stretch>
                  </pic:blipFill>
                  <pic:spPr>
                    <a:xfrm>
                      <a:off x="0" y="0"/>
                      <a:ext cx="5394960" cy="3282288"/>
                    </a:xfrm>
                    <a:prstGeom prst="rect"/>
                  </pic:spPr>
                </pic:pic>
              </a:graphicData>
            </a:graphic>
          </wp:inline>
        </w:drawing>
      </w:r>
    </w:p>
    <w:p>
      <w:pPr>
        <w:keepNext w:val="0"/>
        <w:spacing w:before="0" w:after="220"/>
        <w:jc w:val="center"/>
      </w:pPr>
      <w:r>
        <w:rPr>
          <w:rFonts w:ascii="Times New Roman" w:hAnsi="Times New Roman"/>
          <w:b/>
          <w:color w:val="1E1E1E"/>
          <w:sz w:val="21"/>
        </w:rPr>
        <w:t xml:space="preserve">Figure 19. </w:t>
      </w:r>
      <w:r>
        <w:rPr>
          <w:rFonts w:ascii="Times New Roman" w:hAnsi="Times New Roman"/>
          <w:i/>
          <w:color w:val="282828"/>
          <w:sz w:val="21"/>
        </w:rPr>
        <w:t>Payment submitted and confirmed with status PENDING.</w:t>
      </w:r>
    </w:p>
    <w:p>
      <w:pPr>
        <w:spacing w:after="120" w:line="276" w:lineRule="auto"/>
        <w:jc w:val="both"/>
      </w:pPr>
      <w:r>
        <w:rPr>
          <w:rFonts w:ascii="Times New Roman" w:hAnsi="Times New Roman"/>
          <w:color w:val="000000"/>
          <w:sz w:val="24"/>
        </w:rPr>
        <w:t>DynamoDB PaymentsTable confirms the pending payment item prior to settlement execution.</w:t>
      </w:r>
    </w:p>
    <w:p>
      <w:pPr>
        <w:keepNext/>
        <w:spacing w:before="160" w:after="80"/>
        <w:jc w:val="center"/>
      </w:pPr>
      <w:r>
        <w:drawing>
          <wp:inline xmlns:a="http://schemas.openxmlformats.org/drawingml/2006/main" xmlns:pic="http://schemas.openxmlformats.org/drawingml/2006/picture">
            <wp:extent cx="5394960" cy="2596944"/>
            <wp:docPr id="21" name="Picture 21"/>
            <wp:cNvGraphicFramePr>
              <a:graphicFrameLocks noChangeAspect="1"/>
            </wp:cNvGraphicFramePr>
            <a:graphic>
              <a:graphicData uri="http://schemas.openxmlformats.org/drawingml/2006/picture">
                <pic:pic>
                  <pic:nvPicPr>
                    <pic:cNvPr id="0" name="Figure_20.png"/>
                    <pic:cNvPicPr/>
                  </pic:nvPicPr>
                  <pic:blipFill>
                    <a:blip r:embed="rId30"/>
                    <a:stretch>
                      <a:fillRect/>
                    </a:stretch>
                  </pic:blipFill>
                  <pic:spPr>
                    <a:xfrm>
                      <a:off x="0" y="0"/>
                      <a:ext cx="5394960" cy="2596944"/>
                    </a:xfrm>
                    <a:prstGeom prst="rect"/>
                  </pic:spPr>
                </pic:pic>
              </a:graphicData>
            </a:graphic>
          </wp:inline>
        </w:drawing>
      </w:r>
    </w:p>
    <w:p>
      <w:pPr>
        <w:keepNext w:val="0"/>
        <w:spacing w:before="0" w:after="220"/>
        <w:jc w:val="center"/>
      </w:pPr>
      <w:r>
        <w:rPr>
          <w:rFonts w:ascii="Times New Roman" w:hAnsi="Times New Roman"/>
          <w:b/>
          <w:color w:val="1E1E1E"/>
          <w:sz w:val="21"/>
        </w:rPr>
        <w:t xml:space="preserve">Figure 20. </w:t>
      </w:r>
      <w:r>
        <w:rPr>
          <w:rFonts w:ascii="Times New Roman" w:hAnsi="Times New Roman"/>
          <w:i/>
          <w:color w:val="282828"/>
          <w:sz w:val="21"/>
        </w:rPr>
        <w:t>DynamoDB PaymentsTable showing the un-settled INR 1,068.00 payment record.</w:t>
      </w:r>
    </w:p>
    <w:p>
      <w:pPr>
        <w:spacing w:after="120" w:line="276" w:lineRule="auto"/>
        <w:jc w:val="both"/>
      </w:pPr>
      <w:r>
        <w:rPr>
          <w:rFonts w:ascii="Times New Roman" w:hAnsi="Times New Roman"/>
          <w:color w:val="000000"/>
          <w:sz w:val="24"/>
        </w:rPr>
        <w:t>Filtering by run ID verifies that amount_paise is stored as exactly 106,800 paise.</w:t>
      </w:r>
    </w:p>
    <w:p>
      <w:pPr>
        <w:keepNext/>
        <w:spacing w:before="160" w:after="80"/>
        <w:jc w:val="center"/>
      </w:pPr>
      <w:r>
        <w:drawing>
          <wp:inline xmlns:a="http://schemas.openxmlformats.org/drawingml/2006/main" xmlns:pic="http://schemas.openxmlformats.org/drawingml/2006/picture">
            <wp:extent cx="5394960" cy="2574288"/>
            <wp:docPr id="22" name="Picture 22"/>
            <wp:cNvGraphicFramePr>
              <a:graphicFrameLocks noChangeAspect="1"/>
            </wp:cNvGraphicFramePr>
            <a:graphic>
              <a:graphicData uri="http://schemas.openxmlformats.org/drawingml/2006/picture">
                <pic:pic>
                  <pic:nvPicPr>
                    <pic:cNvPr id="0" name="Figure_21.png"/>
                    <pic:cNvPicPr/>
                  </pic:nvPicPr>
                  <pic:blipFill>
                    <a:blip r:embed="rId31"/>
                    <a:stretch>
                      <a:fillRect/>
                    </a:stretch>
                  </pic:blipFill>
                  <pic:spPr>
                    <a:xfrm>
                      <a:off x="0" y="0"/>
                      <a:ext cx="5394960" cy="2574288"/>
                    </a:xfrm>
                    <a:prstGeom prst="rect"/>
                  </pic:spPr>
                </pic:pic>
              </a:graphicData>
            </a:graphic>
          </wp:inline>
        </w:drawing>
      </w:r>
    </w:p>
    <w:p>
      <w:pPr>
        <w:keepNext w:val="0"/>
        <w:spacing w:before="0" w:after="220"/>
        <w:jc w:val="center"/>
      </w:pPr>
      <w:r>
        <w:rPr>
          <w:rFonts w:ascii="Times New Roman" w:hAnsi="Times New Roman"/>
          <w:b/>
          <w:color w:val="1E1E1E"/>
          <w:sz w:val="21"/>
        </w:rPr>
        <w:t xml:space="preserve">Figure 21. </w:t>
      </w:r>
      <w:r>
        <w:rPr>
          <w:rFonts w:ascii="Times New Roman" w:hAnsi="Times New Roman"/>
          <w:i/>
          <w:color w:val="282828"/>
          <w:sz w:val="21"/>
        </w:rPr>
        <w:t>Payment item filtered in DynamoDB showing amount_paise = 106,800 and status PENDING.</w:t>
      </w:r>
    </w:p>
    <w:p>
      <w:pPr>
        <w:spacing w:after="120" w:line="276" w:lineRule="auto"/>
        <w:jc w:val="both"/>
      </w:pPr>
      <w:r>
        <w:rPr>
          <w:rFonts w:ascii="Times New Roman" w:hAnsi="Times New Roman"/>
          <w:color w:val="000000"/>
          <w:sz w:val="24"/>
        </w:rPr>
        <w:t>Triggering settlement causes the engine to evaluate Bank A's shortfall. SettlePending defers the payment. The dashboard displays 0/1 settled and 1 deferred.</w:t>
      </w:r>
    </w:p>
    <w:p>
      <w:pPr>
        <w:keepNext/>
        <w:spacing w:before="160" w:after="80"/>
        <w:jc w:val="center"/>
      </w:pPr>
      <w:r>
        <w:drawing>
          <wp:inline xmlns:a="http://schemas.openxmlformats.org/drawingml/2006/main" xmlns:pic="http://schemas.openxmlformats.org/drawingml/2006/picture">
            <wp:extent cx="5394960" cy="3282288"/>
            <wp:docPr id="23" name="Picture 23"/>
            <wp:cNvGraphicFramePr>
              <a:graphicFrameLocks noChangeAspect="1"/>
            </wp:cNvGraphicFramePr>
            <a:graphic>
              <a:graphicData uri="http://schemas.openxmlformats.org/drawingml/2006/picture">
                <pic:pic>
                  <pic:nvPicPr>
                    <pic:cNvPr id="0" name="Figure_22.png"/>
                    <pic:cNvPicPr/>
                  </pic:nvPicPr>
                  <pic:blipFill>
                    <a:blip r:embed="rId32"/>
                    <a:stretch>
                      <a:fillRect/>
                    </a:stretch>
                  </pic:blipFill>
                  <pic:spPr>
                    <a:xfrm>
                      <a:off x="0" y="0"/>
                      <a:ext cx="5394960" cy="3282288"/>
                    </a:xfrm>
                    <a:prstGeom prst="rect"/>
                  </pic:spPr>
                </pic:pic>
              </a:graphicData>
            </a:graphic>
          </wp:inline>
        </w:drawing>
      </w:r>
    </w:p>
    <w:p>
      <w:pPr>
        <w:keepNext w:val="0"/>
        <w:spacing w:before="0" w:after="220"/>
        <w:jc w:val="center"/>
      </w:pPr>
      <w:r>
        <w:rPr>
          <w:rFonts w:ascii="Times New Roman" w:hAnsi="Times New Roman"/>
          <w:b/>
          <w:color w:val="1E1E1E"/>
          <w:sz w:val="21"/>
        </w:rPr>
        <w:t xml:space="preserve">Figure 22. </w:t>
      </w:r>
      <w:r>
        <w:rPr>
          <w:rFonts w:ascii="Times New Roman" w:hAnsi="Times New Roman"/>
          <w:i/>
          <w:color w:val="282828"/>
          <w:sz w:val="21"/>
        </w:rPr>
        <w:t>Step Functions execution completing with 0/1 settled and 1 payment deferred.</w:t>
      </w:r>
    </w:p>
    <w:p>
      <w:pPr>
        <w:spacing w:after="120" w:line="276" w:lineRule="auto"/>
        <w:jc w:val="both"/>
      </w:pPr>
      <w:r>
        <w:rPr>
          <w:rFonts w:ascii="Times New Roman" w:hAnsi="Times New Roman"/>
          <w:color w:val="000000"/>
          <w:sz w:val="24"/>
        </w:rPr>
        <w:t>Inspection of the approved_plan.json object in S3 confirms that selected_ids is empty, deferred_ids contains the payment, and settled_pct is 0.0%.</w:t>
      </w:r>
    </w:p>
    <w:p>
      <w:pPr>
        <w:keepNext/>
        <w:spacing w:before="160" w:after="80"/>
        <w:jc w:val="center"/>
      </w:pPr>
      <w:r>
        <w:drawing>
          <wp:inline xmlns:a="http://schemas.openxmlformats.org/drawingml/2006/main" xmlns:pic="http://schemas.openxmlformats.org/drawingml/2006/picture">
            <wp:extent cx="5394960" cy="722160"/>
            <wp:docPr id="24" name="Picture 24"/>
            <wp:cNvGraphicFramePr>
              <a:graphicFrameLocks noChangeAspect="1"/>
            </wp:cNvGraphicFramePr>
            <a:graphic>
              <a:graphicData uri="http://schemas.openxmlformats.org/drawingml/2006/picture">
                <pic:pic>
                  <pic:nvPicPr>
                    <pic:cNvPr id="0" name="Figure_23.png"/>
                    <pic:cNvPicPr/>
                  </pic:nvPicPr>
                  <pic:blipFill>
                    <a:blip r:embed="rId33"/>
                    <a:stretch>
                      <a:fillRect/>
                    </a:stretch>
                  </pic:blipFill>
                  <pic:spPr>
                    <a:xfrm>
                      <a:off x="0" y="0"/>
                      <a:ext cx="5394960" cy="722160"/>
                    </a:xfrm>
                    <a:prstGeom prst="rect"/>
                  </pic:spPr>
                </pic:pic>
              </a:graphicData>
            </a:graphic>
          </wp:inline>
        </w:drawing>
      </w:r>
    </w:p>
    <w:p>
      <w:pPr>
        <w:keepNext w:val="0"/>
        <w:spacing w:before="0" w:after="220"/>
        <w:jc w:val="center"/>
      </w:pPr>
      <w:r>
        <w:rPr>
          <w:rFonts w:ascii="Times New Roman" w:hAnsi="Times New Roman"/>
          <w:b/>
          <w:color w:val="1E1E1E"/>
          <w:sz w:val="21"/>
        </w:rPr>
        <w:t xml:space="preserve">Figure 23. </w:t>
      </w:r>
      <w:r>
        <w:rPr>
          <w:rFonts w:ascii="Times New Roman" w:hAnsi="Times New Roman"/>
          <w:i/>
          <w:color w:val="282828"/>
          <w:sz w:val="21"/>
        </w:rPr>
        <w:t>S3 approved_plan.json demonstrating empty selected_ids and deferred payment ID.</w:t>
      </w:r>
    </w:p>
    <w:p>
      <w:pPr>
        <w:spacing w:after="120" w:line="276" w:lineRule="auto"/>
        <w:jc w:val="both"/>
      </w:pPr>
      <w:r>
        <w:rPr>
          <w:rFonts w:ascii="Times New Roman" w:hAnsi="Times New Roman"/>
          <w:color w:val="000000"/>
          <w:sz w:val="24"/>
        </w:rPr>
        <w:t>The dashboard performs final audit checks: cloud decision is DEFER, DynamoDB status remains PENDING, exactly 0 ledger entries were written, and all three bank balances remain completely untouched (Bank A = INR 968.00, Bank B = INR 1,012.00, Bank C = INR 1,020.00). Overdraft is 100% prevented.</w:t>
      </w:r>
    </w:p>
    <w:p>
      <w:pPr>
        <w:keepNext/>
        <w:spacing w:before="160" w:after="80"/>
        <w:jc w:val="center"/>
      </w:pPr>
      <w:r>
        <w:drawing>
          <wp:inline xmlns:a="http://schemas.openxmlformats.org/drawingml/2006/main" xmlns:pic="http://schemas.openxmlformats.org/drawingml/2006/picture">
            <wp:extent cx="5394960" cy="3296448"/>
            <wp:docPr id="25" name="Picture 25"/>
            <wp:cNvGraphicFramePr>
              <a:graphicFrameLocks noChangeAspect="1"/>
            </wp:cNvGraphicFramePr>
            <a:graphic>
              <a:graphicData uri="http://schemas.openxmlformats.org/drawingml/2006/picture">
                <pic:pic>
                  <pic:nvPicPr>
                    <pic:cNvPr id="0" name="Figure_24.png"/>
                    <pic:cNvPicPr/>
                  </pic:nvPicPr>
                  <pic:blipFill>
                    <a:blip r:embed="rId34"/>
                    <a:stretch>
                      <a:fillRect/>
                    </a:stretch>
                  </pic:blipFill>
                  <pic:spPr>
                    <a:xfrm>
                      <a:off x="0" y="0"/>
                      <a:ext cx="5394960" cy="3296448"/>
                    </a:xfrm>
                    <a:prstGeom prst="rect"/>
                  </pic:spPr>
                </pic:pic>
              </a:graphicData>
            </a:graphic>
          </wp:inline>
        </w:drawing>
      </w:r>
    </w:p>
    <w:p>
      <w:pPr>
        <w:keepNext w:val="0"/>
        <w:spacing w:before="0" w:after="220"/>
        <w:jc w:val="center"/>
      </w:pPr>
      <w:r>
        <w:rPr>
          <w:rFonts w:ascii="Times New Roman" w:hAnsi="Times New Roman"/>
          <w:b/>
          <w:color w:val="1E1E1E"/>
          <w:sz w:val="21"/>
        </w:rPr>
        <w:t xml:space="preserve">Figure 24. </w:t>
      </w:r>
      <w:r>
        <w:rPr>
          <w:rFonts w:ascii="Times New Roman" w:hAnsi="Times New Roman"/>
          <w:i/>
          <w:color w:val="282828"/>
          <w:sz w:val="21"/>
        </w:rPr>
        <w:t>Verification panel confirming DEFER decision, zero ledger writes, and unchanged balances.</w:t>
      </w:r>
    </w:p>
    <w:p>
      <w:pPr>
        <w:keepNext/>
        <w:spacing w:before="260" w:after="80"/>
      </w:pPr>
      <w:r>
        <w:rPr>
          <w:rFonts w:ascii="Times New Roman" w:hAnsi="Times New Roman"/>
          <w:b/>
          <w:color w:val="1E1E1E"/>
          <w:sz w:val="28"/>
        </w:rPr>
        <w:t>9.3 Scenario 3: Circular Gridlock Resolution via BCGR</w:t>
      </w:r>
    </w:p>
    <w:p>
      <w:pPr>
        <w:spacing w:after="120" w:line="276" w:lineRule="auto"/>
        <w:jc w:val="both"/>
      </w:pPr>
      <w:r>
        <w:rPr>
          <w:rFonts w:ascii="Times New Roman" w:hAnsi="Times New Roman"/>
          <w:color w:val="000000"/>
          <w:sz w:val="24"/>
        </w:rPr>
        <w:t>Scenario 3 tests ClearPay's novel Bounded-Cycle Gridlock Repair (BCGR) algorithm. Three payments of INR 1,120.00 form a closed directed dependency cycle: Bank A owes Bank B INR 1,120.00, Bank B owes Bank C INR 1,120.00, and Bank C owes Bank A INR 1,120.00. Because each bank's balance (INR 968.00, INR 1,012.00, INR 1,020.00) is lower than INR 1,120.00, traditional single-pass heuristics reject all three payments. However, the net liquidity change for every bank is exactly zero.</w:t>
      </w:r>
    </w:p>
    <w:p>
      <w:pPr>
        <w:keepNext/>
        <w:spacing w:before="160" w:after="80"/>
        <w:jc w:val="center"/>
      </w:pPr>
      <w:r>
        <w:drawing>
          <wp:inline xmlns:a="http://schemas.openxmlformats.org/drawingml/2006/main" xmlns:pic="http://schemas.openxmlformats.org/drawingml/2006/picture">
            <wp:extent cx="5394960" cy="3293616"/>
            <wp:docPr id="26" name="Picture 26"/>
            <wp:cNvGraphicFramePr>
              <a:graphicFrameLocks noChangeAspect="1"/>
            </wp:cNvGraphicFramePr>
            <a:graphic>
              <a:graphicData uri="http://schemas.openxmlformats.org/drawingml/2006/picture">
                <pic:pic>
                  <pic:nvPicPr>
                    <pic:cNvPr id="0" name="Figure_25.png"/>
                    <pic:cNvPicPr/>
                  </pic:nvPicPr>
                  <pic:blipFill>
                    <a:blip r:embed="rId35"/>
                    <a:stretch>
                      <a:fillRect/>
                    </a:stretch>
                  </pic:blipFill>
                  <pic:spPr>
                    <a:xfrm>
                      <a:off x="0" y="0"/>
                      <a:ext cx="5394960" cy="3293616"/>
                    </a:xfrm>
                    <a:prstGeom prst="rect"/>
                  </pic:spPr>
                </pic:pic>
              </a:graphicData>
            </a:graphic>
          </wp:inline>
        </w:drawing>
      </w:r>
    </w:p>
    <w:p>
      <w:pPr>
        <w:keepNext w:val="0"/>
        <w:spacing w:before="0" w:after="220"/>
        <w:jc w:val="center"/>
      </w:pPr>
      <w:r>
        <w:rPr>
          <w:rFonts w:ascii="Times New Roman" w:hAnsi="Times New Roman"/>
          <w:b/>
          <w:color w:val="1E1E1E"/>
          <w:sz w:val="21"/>
        </w:rPr>
        <w:t xml:space="preserve">Figure 25. </w:t>
      </w:r>
      <w:r>
        <w:rPr>
          <w:rFonts w:ascii="Times New Roman" w:hAnsi="Times New Roman"/>
          <w:i/>
          <w:color w:val="282828"/>
          <w:sz w:val="21"/>
        </w:rPr>
        <w:t>Circular gridlock scenario: Three INR 1,120.00 payments forming a closed credit loop.</w:t>
      </w:r>
    </w:p>
    <w:p>
      <w:pPr>
        <w:spacing w:after="120" w:line="276" w:lineRule="auto"/>
        <w:jc w:val="both"/>
      </w:pPr>
      <w:r>
        <w:rPr>
          <w:rFonts w:ascii="Times New Roman" w:hAnsi="Times New Roman"/>
          <w:color w:val="000000"/>
          <w:sz w:val="24"/>
        </w:rPr>
        <w:t>The three cyclic payments are submitted and recorded in PaymentsTable with status PENDING.</w:t>
      </w:r>
    </w:p>
    <w:p>
      <w:pPr>
        <w:keepNext/>
        <w:spacing w:before="160" w:after="80"/>
        <w:jc w:val="center"/>
      </w:pPr>
      <w:r>
        <w:drawing>
          <wp:inline xmlns:a="http://schemas.openxmlformats.org/drawingml/2006/main" xmlns:pic="http://schemas.openxmlformats.org/drawingml/2006/picture">
            <wp:extent cx="5394960" cy="2646007"/>
            <wp:docPr id="27" name="Picture 27"/>
            <wp:cNvGraphicFramePr>
              <a:graphicFrameLocks noChangeAspect="1"/>
            </wp:cNvGraphicFramePr>
            <a:graphic>
              <a:graphicData uri="http://schemas.openxmlformats.org/drawingml/2006/picture">
                <pic:pic>
                  <pic:nvPicPr>
                    <pic:cNvPr id="0" name="Figure_26.png"/>
                    <pic:cNvPicPr/>
                  </pic:nvPicPr>
                  <pic:blipFill>
                    <a:blip r:embed="rId36"/>
                    <a:stretch>
                      <a:fillRect/>
                    </a:stretch>
                  </pic:blipFill>
                  <pic:spPr>
                    <a:xfrm>
                      <a:off x="0" y="0"/>
                      <a:ext cx="5394960" cy="2646007"/>
                    </a:xfrm>
                    <a:prstGeom prst="rect"/>
                  </pic:spPr>
                </pic:pic>
              </a:graphicData>
            </a:graphic>
          </wp:inline>
        </w:drawing>
      </w:r>
    </w:p>
    <w:p>
      <w:pPr>
        <w:keepNext w:val="0"/>
        <w:spacing w:before="0" w:after="220"/>
        <w:jc w:val="center"/>
      </w:pPr>
      <w:r>
        <w:rPr>
          <w:rFonts w:ascii="Times New Roman" w:hAnsi="Times New Roman"/>
          <w:b/>
          <w:color w:val="1E1E1E"/>
          <w:sz w:val="21"/>
        </w:rPr>
        <w:t xml:space="preserve">Figure 26. </w:t>
      </w:r>
      <w:r>
        <w:rPr>
          <w:rFonts w:ascii="Times New Roman" w:hAnsi="Times New Roman"/>
          <w:i/>
          <w:color w:val="282828"/>
          <w:sz w:val="21"/>
        </w:rPr>
        <w:t>PaymentsTable displaying first cycle payment DEMO-5cb...-01 as PENDING.</w:t>
      </w:r>
    </w:p>
    <w:p>
      <w:pPr>
        <w:spacing w:after="120" w:line="276" w:lineRule="auto"/>
        <w:jc w:val="both"/>
      </w:pPr>
      <w:r>
        <w:rPr>
          <w:rFonts w:ascii="Times New Roman" w:hAnsi="Times New Roman"/>
          <w:color w:val="000000"/>
          <w:sz w:val="24"/>
        </w:rPr>
        <w:t>DynamoDB confirms the second cycle payment DEMO-5cb...-02 is also stored as PENDING.</w:t>
      </w:r>
    </w:p>
    <w:p>
      <w:pPr>
        <w:keepNext/>
        <w:spacing w:before="160" w:after="80"/>
        <w:jc w:val="center"/>
      </w:pPr>
      <w:r>
        <w:drawing>
          <wp:inline xmlns:a="http://schemas.openxmlformats.org/drawingml/2006/main" xmlns:pic="http://schemas.openxmlformats.org/drawingml/2006/picture">
            <wp:extent cx="5394960" cy="2529148"/>
            <wp:docPr id="28" name="Picture 28"/>
            <wp:cNvGraphicFramePr>
              <a:graphicFrameLocks noChangeAspect="1"/>
            </wp:cNvGraphicFramePr>
            <a:graphic>
              <a:graphicData uri="http://schemas.openxmlformats.org/drawingml/2006/picture">
                <pic:pic>
                  <pic:nvPicPr>
                    <pic:cNvPr id="0" name="Figure_27.png"/>
                    <pic:cNvPicPr/>
                  </pic:nvPicPr>
                  <pic:blipFill>
                    <a:blip r:embed="rId37"/>
                    <a:stretch>
                      <a:fillRect/>
                    </a:stretch>
                  </pic:blipFill>
                  <pic:spPr>
                    <a:xfrm>
                      <a:off x="0" y="0"/>
                      <a:ext cx="5394960" cy="2529148"/>
                    </a:xfrm>
                    <a:prstGeom prst="rect"/>
                  </pic:spPr>
                </pic:pic>
              </a:graphicData>
            </a:graphic>
          </wp:inline>
        </w:drawing>
      </w:r>
    </w:p>
    <w:p>
      <w:pPr>
        <w:keepNext w:val="0"/>
        <w:spacing w:before="0" w:after="220"/>
        <w:jc w:val="center"/>
      </w:pPr>
      <w:r>
        <w:rPr>
          <w:rFonts w:ascii="Times New Roman" w:hAnsi="Times New Roman"/>
          <w:b/>
          <w:color w:val="1E1E1E"/>
          <w:sz w:val="21"/>
        </w:rPr>
        <w:t xml:space="preserve">Figure 27. </w:t>
      </w:r>
      <w:r>
        <w:rPr>
          <w:rFonts w:ascii="Times New Roman" w:hAnsi="Times New Roman"/>
          <w:i/>
          <w:color w:val="282828"/>
          <w:sz w:val="21"/>
        </w:rPr>
        <w:t>PaymentsTable displaying second cycle payment DEMO-5cb...-02 as PENDING.</w:t>
      </w:r>
    </w:p>
    <w:p>
      <w:pPr>
        <w:spacing w:after="120" w:line="276" w:lineRule="auto"/>
        <w:jc w:val="both"/>
      </w:pPr>
      <w:r>
        <w:rPr>
          <w:rFonts w:ascii="Times New Roman" w:hAnsi="Times New Roman"/>
          <w:color w:val="000000"/>
          <w:sz w:val="24"/>
        </w:rPr>
        <w:t>When Step Functions runs, SettlePending first identifies that standard greedy selection cannot admit the payments. The BCGR module extracts the closed cycle from the deferred pool, verifies that net debit is zero across all nodes, and approves all three payments simultaneously. The execution finishes with SUCCEEDED.</w:t>
      </w:r>
    </w:p>
    <w:p>
      <w:pPr>
        <w:keepNext/>
        <w:spacing w:before="160" w:after="80"/>
        <w:jc w:val="center"/>
      </w:pPr>
      <w:r>
        <w:drawing>
          <wp:inline xmlns:a="http://schemas.openxmlformats.org/drawingml/2006/main" xmlns:pic="http://schemas.openxmlformats.org/drawingml/2006/picture">
            <wp:extent cx="5394960" cy="3282288"/>
            <wp:docPr id="29" name="Picture 29"/>
            <wp:cNvGraphicFramePr>
              <a:graphicFrameLocks noChangeAspect="1"/>
            </wp:cNvGraphicFramePr>
            <a:graphic>
              <a:graphicData uri="http://schemas.openxmlformats.org/drawingml/2006/picture">
                <pic:pic>
                  <pic:nvPicPr>
                    <pic:cNvPr id="0" name="Figure_28.png"/>
                    <pic:cNvPicPr/>
                  </pic:nvPicPr>
                  <pic:blipFill>
                    <a:blip r:embed="rId38"/>
                    <a:stretch>
                      <a:fillRect/>
                    </a:stretch>
                  </pic:blipFill>
                  <pic:spPr>
                    <a:xfrm>
                      <a:off x="0" y="0"/>
                      <a:ext cx="5394960" cy="3282288"/>
                    </a:xfrm>
                    <a:prstGeom prst="rect"/>
                  </pic:spPr>
                </pic:pic>
              </a:graphicData>
            </a:graphic>
          </wp:inline>
        </w:drawing>
      </w:r>
    </w:p>
    <w:p>
      <w:pPr>
        <w:keepNext w:val="0"/>
        <w:spacing w:before="0" w:after="220"/>
        <w:jc w:val="center"/>
      </w:pPr>
      <w:r>
        <w:rPr>
          <w:rFonts w:ascii="Times New Roman" w:hAnsi="Times New Roman"/>
          <w:b/>
          <w:color w:val="1E1E1E"/>
          <w:sz w:val="21"/>
        </w:rPr>
        <w:t xml:space="preserve">Figure 28. </w:t>
      </w:r>
      <w:r>
        <w:rPr>
          <w:rFonts w:ascii="Times New Roman" w:hAnsi="Times New Roman"/>
          <w:i/>
          <w:color w:val="282828"/>
          <w:sz w:val="21"/>
        </w:rPr>
        <w:t>Step Functions execution SUCCEEDED via BCGR cycle extraction and repair.</w:t>
      </w:r>
    </w:p>
    <w:p>
      <w:pPr>
        <w:spacing w:after="120" w:line="276" w:lineRule="auto"/>
        <w:jc w:val="both"/>
      </w:pPr>
      <w:r>
        <w:rPr>
          <w:rFonts w:ascii="Times New Roman" w:hAnsi="Times New Roman"/>
          <w:color w:val="000000"/>
          <w:sz w:val="24"/>
        </w:rPr>
        <w:t>In DynamoDB PaymentsTable, all three circular payments transition to SETTLED without requiring any external liquidity injection.</w:t>
      </w:r>
    </w:p>
    <w:p>
      <w:pPr>
        <w:keepNext/>
        <w:spacing w:before="160" w:after="80"/>
        <w:jc w:val="center"/>
      </w:pPr>
      <w:r>
        <w:drawing>
          <wp:inline xmlns:a="http://schemas.openxmlformats.org/drawingml/2006/main" xmlns:pic="http://schemas.openxmlformats.org/drawingml/2006/picture">
            <wp:extent cx="5394960" cy="2594267"/>
            <wp:docPr id="30" name="Picture 30"/>
            <wp:cNvGraphicFramePr>
              <a:graphicFrameLocks noChangeAspect="1"/>
            </wp:cNvGraphicFramePr>
            <a:graphic>
              <a:graphicData uri="http://schemas.openxmlformats.org/drawingml/2006/picture">
                <pic:pic>
                  <pic:nvPicPr>
                    <pic:cNvPr id="0" name="Figure_29.png"/>
                    <pic:cNvPicPr/>
                  </pic:nvPicPr>
                  <pic:blipFill>
                    <a:blip r:embed="rId39"/>
                    <a:stretch>
                      <a:fillRect/>
                    </a:stretch>
                  </pic:blipFill>
                  <pic:spPr>
                    <a:xfrm>
                      <a:off x="0" y="0"/>
                      <a:ext cx="5394960" cy="2594267"/>
                    </a:xfrm>
                    <a:prstGeom prst="rect"/>
                  </pic:spPr>
                </pic:pic>
              </a:graphicData>
            </a:graphic>
          </wp:inline>
        </w:drawing>
      </w:r>
    </w:p>
    <w:p>
      <w:pPr>
        <w:keepNext w:val="0"/>
        <w:spacing w:before="0" w:after="220"/>
        <w:jc w:val="center"/>
      </w:pPr>
      <w:r>
        <w:rPr>
          <w:rFonts w:ascii="Times New Roman" w:hAnsi="Times New Roman"/>
          <w:b/>
          <w:color w:val="1E1E1E"/>
          <w:sz w:val="21"/>
        </w:rPr>
        <w:t xml:space="preserve">Figure 29. </w:t>
      </w:r>
      <w:r>
        <w:rPr>
          <w:rFonts w:ascii="Times New Roman" w:hAnsi="Times New Roman"/>
          <w:i/>
          <w:color w:val="282828"/>
          <w:sz w:val="21"/>
        </w:rPr>
        <w:t>PaymentsTable showing all three circular payments updated to SETTLED.</w:t>
      </w:r>
    </w:p>
    <w:p>
      <w:pPr>
        <w:spacing w:after="120" w:line="276" w:lineRule="auto"/>
        <w:jc w:val="both"/>
      </w:pPr>
      <w:r>
        <w:rPr>
          <w:rFonts w:ascii="Times New Roman" w:hAnsi="Times New Roman"/>
          <w:color w:val="000000"/>
          <w:sz w:val="24"/>
        </w:rPr>
        <w:t>The window_id column confirms all three payments are linked to the same settlement window and frozen S3 plan.</w:t>
      </w:r>
    </w:p>
    <w:p>
      <w:pPr>
        <w:keepNext/>
        <w:spacing w:before="160" w:after="80"/>
        <w:jc w:val="center"/>
      </w:pPr>
      <w:r>
        <w:drawing>
          <wp:inline xmlns:a="http://schemas.openxmlformats.org/drawingml/2006/main" xmlns:pic="http://schemas.openxmlformats.org/drawingml/2006/picture">
            <wp:extent cx="5394960" cy="2597364"/>
            <wp:docPr id="31" name="Picture 31"/>
            <wp:cNvGraphicFramePr>
              <a:graphicFrameLocks noChangeAspect="1"/>
            </wp:cNvGraphicFramePr>
            <a:graphic>
              <a:graphicData uri="http://schemas.openxmlformats.org/drawingml/2006/picture">
                <pic:pic>
                  <pic:nvPicPr>
                    <pic:cNvPr id="0" name="Figure_30.png"/>
                    <pic:cNvPicPr/>
                  </pic:nvPicPr>
                  <pic:blipFill>
                    <a:blip r:embed="rId40"/>
                    <a:stretch>
                      <a:fillRect/>
                    </a:stretch>
                  </pic:blipFill>
                  <pic:spPr>
                    <a:xfrm>
                      <a:off x="0" y="0"/>
                      <a:ext cx="5394960" cy="2597364"/>
                    </a:xfrm>
                    <a:prstGeom prst="rect"/>
                  </pic:spPr>
                </pic:pic>
              </a:graphicData>
            </a:graphic>
          </wp:inline>
        </w:drawing>
      </w:r>
    </w:p>
    <w:p>
      <w:pPr>
        <w:keepNext w:val="0"/>
        <w:spacing w:before="0" w:after="220"/>
        <w:jc w:val="center"/>
      </w:pPr>
      <w:r>
        <w:rPr>
          <w:rFonts w:ascii="Times New Roman" w:hAnsi="Times New Roman"/>
          <w:b/>
          <w:color w:val="1E1E1E"/>
          <w:sz w:val="21"/>
        </w:rPr>
        <w:t xml:space="preserve">Figure 30. </w:t>
      </w:r>
      <w:r>
        <w:rPr>
          <w:rFonts w:ascii="Times New Roman" w:hAnsi="Times New Roman"/>
          <w:i/>
          <w:color w:val="282828"/>
          <w:sz w:val="21"/>
        </w:rPr>
        <w:t>DynamoDB window_id attribute linking settled cycle payments to approved S3 plan.</w:t>
      </w:r>
    </w:p>
    <w:p>
      <w:pPr>
        <w:spacing w:after="120" w:line="276" w:lineRule="auto"/>
        <w:jc w:val="both"/>
      </w:pPr>
      <w:r>
        <w:rPr>
          <w:rFonts w:ascii="Times New Roman" w:hAnsi="Times New Roman"/>
          <w:color w:val="000000"/>
          <w:sz w:val="24"/>
        </w:rPr>
        <w:t>Final dashboard audit confirms: 3/3 payments settled, 0 deferred, 3/3 ledger checks verified (2 double-entry rows per payment), and balances remain identical at INR 968.00, INR 1,012.00, and INR 1,020.00. Total liquidity is perfectly conserved at INR 3,000.00.</w:t>
      </w:r>
    </w:p>
    <w:p>
      <w:pPr>
        <w:keepNext/>
        <w:spacing w:before="160" w:after="80"/>
        <w:jc w:val="center"/>
      </w:pPr>
      <w:r>
        <w:drawing>
          <wp:inline xmlns:a="http://schemas.openxmlformats.org/drawingml/2006/main" xmlns:pic="http://schemas.openxmlformats.org/drawingml/2006/picture">
            <wp:extent cx="5394960" cy="3282288"/>
            <wp:docPr id="32" name="Picture 32"/>
            <wp:cNvGraphicFramePr>
              <a:graphicFrameLocks noChangeAspect="1"/>
            </wp:cNvGraphicFramePr>
            <a:graphic>
              <a:graphicData uri="http://schemas.openxmlformats.org/drawingml/2006/picture">
                <pic:pic>
                  <pic:nvPicPr>
                    <pic:cNvPr id="0" name="Figure_31.png"/>
                    <pic:cNvPicPr/>
                  </pic:nvPicPr>
                  <pic:blipFill>
                    <a:blip r:embed="rId41"/>
                    <a:stretch>
                      <a:fillRect/>
                    </a:stretch>
                  </pic:blipFill>
                  <pic:spPr>
                    <a:xfrm>
                      <a:off x="0" y="0"/>
                      <a:ext cx="5394960" cy="3282288"/>
                    </a:xfrm>
                    <a:prstGeom prst="rect"/>
                  </pic:spPr>
                </pic:pic>
              </a:graphicData>
            </a:graphic>
          </wp:inline>
        </w:drawing>
      </w:r>
    </w:p>
    <w:p>
      <w:pPr>
        <w:keepNext w:val="0"/>
        <w:spacing w:before="0" w:after="220"/>
        <w:jc w:val="center"/>
      </w:pPr>
      <w:r>
        <w:rPr>
          <w:rFonts w:ascii="Times New Roman" w:hAnsi="Times New Roman"/>
          <w:b/>
          <w:color w:val="1E1E1E"/>
          <w:sz w:val="21"/>
        </w:rPr>
        <w:t xml:space="preserve">Figure 31. </w:t>
      </w:r>
      <w:r>
        <w:rPr>
          <w:rFonts w:ascii="Times New Roman" w:hAnsi="Times New Roman"/>
          <w:i/>
          <w:color w:val="282828"/>
          <w:sz w:val="21"/>
        </w:rPr>
        <w:t>Verification panel confirming successful 3/3 cycle clearing with zero net balance change.</w:t>
      </w:r>
    </w:p>
    <w:p>
      <w:pPr>
        <w:keepNext/>
        <w:spacing w:before="360" w:after="120"/>
      </w:pPr>
      <w:r>
        <w:rPr>
          <w:rFonts w:ascii="Times New Roman" w:hAnsi="Times New Roman"/>
          <w:b/>
          <w:color w:val="000000"/>
          <w:sz w:val="32"/>
        </w:rPr>
        <w:t>10. Results:</w:t>
      </w:r>
    </w:p>
    <w:p>
      <w:pPr>
        <w:spacing w:after="120" w:line="276" w:lineRule="auto"/>
        <w:jc w:val="both"/>
      </w:pPr>
      <w:r>
        <w:rPr>
          <w:rFonts w:ascii="Times New Roman" w:hAnsi="Times New Roman"/>
          <w:color w:val="000000"/>
          <w:sz w:val="24"/>
        </w:rPr>
        <w:t>ClearPay was subjected to comprehensive empirical benchmarking against real-world transaction graphs from the Stanford SNAP repository, followed by operational performance verification of the live AWS serverless stack.</w:t>
      </w:r>
    </w:p>
    <w:p>
      <w:pPr>
        <w:keepNext/>
        <w:spacing w:before="260" w:after="80"/>
      </w:pPr>
      <w:r>
        <w:rPr>
          <w:rFonts w:ascii="Times New Roman" w:hAnsi="Times New Roman"/>
          <w:b/>
          <w:color w:val="1E1E1E"/>
          <w:sz w:val="28"/>
        </w:rPr>
        <w:t>10.1 Benchmark on Real-World Financial Data (Stanford SNAP Bitcoin OTC)</w:t>
      </w:r>
    </w:p>
    <w:p>
      <w:pPr>
        <w:spacing w:after="120" w:line="276" w:lineRule="auto"/>
        <w:jc w:val="both"/>
      </w:pPr>
      <w:r>
        <w:rPr>
          <w:rFonts w:ascii="Times New Roman" w:hAnsi="Times New Roman"/>
          <w:color w:val="000000"/>
          <w:sz w:val="24"/>
        </w:rPr>
        <w:t>To evaluate settlement efficiency under liquidity stress, 300 sequential payment obligations from the Stanford SNAP Bitcoin OTC network were evaluated under extreme liquidity constraints (alpha = 0.10, indicating bank liquidity deposits equaled only 10% of gross obligations). Five distinct algorithms were compared:</w:t>
      </w:r>
    </w:p>
    <w:p>
      <w:pPr>
        <w:pStyle w:val="ListBullet"/>
        <w:spacing w:after="80" w:line="276" w:lineRule="auto"/>
        <w:jc w:val="both"/>
      </w:pPr>
      <w:r>
        <w:rPr>
          <w:rFonts w:ascii="Times New Roman" w:hAnsi="Times New Roman"/>
          <w:color w:val="000000"/>
          <w:sz w:val="24"/>
        </w:rPr>
        <w:t>All-or-Nothing (Baseline): Legacy settlement rule where entire batch must settle or abort.</w:t>
      </w:r>
    </w:p>
    <w:p>
      <w:pPr>
        <w:pStyle w:val="ListBullet"/>
        <w:spacing w:after="80" w:line="276" w:lineRule="auto"/>
        <w:jc w:val="both"/>
      </w:pPr>
      <w:r>
        <w:rPr>
          <w:rFonts w:ascii="Times New Roman" w:hAnsi="Times New Roman"/>
          <w:color w:val="000000"/>
          <w:sz w:val="24"/>
        </w:rPr>
        <w:t>Greedy Cumulative (Baseline): Admits payments sequentially in queue order as long as balance constraints hold.</w:t>
      </w:r>
    </w:p>
    <w:p>
      <w:pPr>
        <w:pStyle w:val="ListBullet"/>
        <w:spacing w:after="80" w:line="276" w:lineRule="auto"/>
        <w:jc w:val="both"/>
      </w:pPr>
      <w:r>
        <w:rPr>
          <w:rFonts w:ascii="Times New Roman" w:hAnsi="Times New Roman"/>
          <w:color w:val="000000"/>
          <w:sz w:val="24"/>
        </w:rPr>
        <w:t>Removal Heuristic (RH - Baseline): Iteratively removes smallest offending payment from shortfall banks, then restores feasible obligations.</w:t>
      </w:r>
    </w:p>
    <w:p>
      <w:pPr>
        <w:pStyle w:val="ListBullet"/>
        <w:spacing w:after="80" w:line="276" w:lineRule="auto"/>
        <w:jc w:val="both"/>
      </w:pPr>
      <w:r>
        <w:rPr>
          <w:rFonts w:ascii="Times New Roman" w:hAnsi="Times New Roman"/>
          <w:color w:val="000000"/>
          <w:sz w:val="24"/>
        </w:rPr>
        <w:t>Bounded-Cycle Gridlock Repair (BCGR - Novel): Augments RH by detecting and resolving 2-bank and 3-bank cycles from deferred queues.</w:t>
      </w:r>
    </w:p>
    <w:p>
      <w:pPr>
        <w:pStyle w:val="ListBullet"/>
        <w:spacing w:after="80" w:line="276" w:lineRule="auto"/>
        <w:jc w:val="both"/>
      </w:pPr>
      <w:r>
        <w:rPr>
          <w:rFonts w:ascii="Times New Roman" w:hAnsi="Times New Roman"/>
          <w:color w:val="000000"/>
          <w:sz w:val="24"/>
        </w:rPr>
        <w:t>Topology Hub-Spoke Clearing (HSC - Novel): K-core elbow decomposition prioritizing high-degree core hubs.</w:t>
      </w:r>
    </w:p>
    <w:p>
      <w:pPr>
        <w:keepNext/>
        <w:spacing w:before="160" w:after="80"/>
        <w:jc w:val="center"/>
      </w:pPr>
      <w:r>
        <w:drawing>
          <wp:inline xmlns:a="http://schemas.openxmlformats.org/drawingml/2006/main" xmlns:pic="http://schemas.openxmlformats.org/drawingml/2006/picture">
            <wp:extent cx="5577840" cy="1724592"/>
            <wp:docPr id="33" name="Picture 33"/>
            <wp:cNvGraphicFramePr>
              <a:graphicFrameLocks noChangeAspect="1"/>
            </wp:cNvGraphicFramePr>
            <a:graphic>
              <a:graphicData uri="http://schemas.openxmlformats.org/drawingml/2006/picture">
                <pic:pic>
                  <pic:nvPicPr>
                    <pic:cNvPr id="0" name="Figure_32.png"/>
                    <pic:cNvPicPr/>
                  </pic:nvPicPr>
                  <pic:blipFill>
                    <a:blip r:embed="rId42"/>
                    <a:stretch>
                      <a:fillRect/>
                    </a:stretch>
                  </pic:blipFill>
                  <pic:spPr>
                    <a:xfrm>
                      <a:off x="0" y="0"/>
                      <a:ext cx="5577840" cy="1724592"/>
                    </a:xfrm>
                    <a:prstGeom prst="rect"/>
                  </pic:spPr>
                </pic:pic>
              </a:graphicData>
            </a:graphic>
          </wp:inline>
        </w:drawing>
      </w:r>
    </w:p>
    <w:p>
      <w:pPr>
        <w:keepNext w:val="0"/>
        <w:spacing w:before="0" w:after="220"/>
        <w:jc w:val="center"/>
      </w:pPr>
      <w:r>
        <w:rPr>
          <w:rFonts w:ascii="Times New Roman" w:hAnsi="Times New Roman"/>
          <w:b/>
          <w:color w:val="1E1E1E"/>
          <w:sz w:val="21"/>
        </w:rPr>
        <w:t xml:space="preserve">Figure 32. </w:t>
      </w:r>
      <w:r>
        <w:rPr>
          <w:rFonts w:ascii="Times New Roman" w:hAnsi="Times New Roman"/>
          <w:i/>
          <w:color w:val="282828"/>
          <w:sz w:val="21"/>
        </w:rPr>
        <w:t>Payments cleared, settled value percentage, and execution runtime (ms) on Bitcoin OTC benchmark.</w:t>
      </w:r>
    </w:p>
    <w:tbl>
      <w:tblPr>
        <w:tblW w:type="auto" w:w="0"/>
        <w:jc w:val="center"/>
        <w:tblLook w:firstColumn="1" w:firstRow="1" w:lastColumn="0" w:lastRow="0" w:noHBand="0" w:noVBand="1" w:val="04A0"/>
        <w:tblBorders>
          <w:top w:val="single" w:sz="6" w:space="0" w:color="888888"/>
          <w:bottom w:val="single" w:sz="6" w:space="0" w:color="888888"/>
          <w:insideH w:val="single" w:sz="4" w:space="0" w:color="CCCCCC"/>
          <w:left w:val="none"/>
          <w:right w:val="none"/>
          <w:insideV w:val="none"/>
        </w:tblBorders>
      </w:tblPr>
      <w:tblGrid>
        <w:gridCol w:w="1872"/>
        <w:gridCol w:w="1872"/>
        <w:gridCol w:w="1872"/>
        <w:gridCol w:w="1872"/>
        <w:gridCol w:w="1872"/>
      </w:tblGrid>
      <w:tr>
        <w:tc>
          <w:tcPr>
            <w:tcW w:type="dxa" w:w="2592"/>
            <w:tcMar>
              <w:top w:w="100" w:type="dxa"/>
              <w:bottom w:w="100" w:type="dxa"/>
              <w:left w:w="120" w:type="dxa"/>
              <w:right w:w="120" w:type="dxa"/>
            </w:tcMar>
            <w:shd w:fill="2B2B2B"/>
          </w:tcPr>
          <w:p>
            <w:pPr>
              <w:jc w:val="left"/>
            </w:pPr>
            <w:r>
              <w:rPr>
                <w:rFonts w:ascii="Times New Roman" w:hAnsi="Times New Roman"/>
                <w:b/>
                <w:color w:val="FFFFFF"/>
                <w:sz w:val="22"/>
              </w:rPr>
              <w:t>Algorithm</w:t>
            </w:r>
          </w:p>
        </w:tc>
        <w:tc>
          <w:tcPr>
            <w:tcW w:type="dxa" w:w="1872"/>
            <w:tcMar>
              <w:top w:w="100" w:type="dxa"/>
              <w:bottom w:w="100" w:type="dxa"/>
              <w:left w:w="120" w:type="dxa"/>
              <w:right w:w="120" w:type="dxa"/>
            </w:tcMar>
            <w:shd w:fill="2B2B2B"/>
          </w:tcPr>
          <w:p>
            <w:pPr>
              <w:jc w:val="center"/>
            </w:pPr>
            <w:r>
              <w:rPr>
                <w:rFonts w:ascii="Times New Roman" w:hAnsi="Times New Roman"/>
                <w:b/>
                <w:color w:val="FFFFFF"/>
                <w:sz w:val="22"/>
              </w:rPr>
              <w:t>Payments Cleared (of 300)</w:t>
            </w:r>
          </w:p>
        </w:tc>
        <w:tc>
          <w:tcPr>
            <w:tcW w:type="dxa" w:w="1728"/>
            <w:tcMar>
              <w:top w:w="100" w:type="dxa"/>
              <w:bottom w:w="100" w:type="dxa"/>
              <w:left w:w="120" w:type="dxa"/>
              <w:right w:w="120" w:type="dxa"/>
            </w:tcMar>
            <w:shd w:fill="2B2B2B"/>
          </w:tcPr>
          <w:p>
            <w:pPr>
              <w:jc w:val="center"/>
            </w:pPr>
            <w:r>
              <w:rPr>
                <w:rFonts w:ascii="Times New Roman" w:hAnsi="Times New Roman"/>
                <w:b/>
                <w:color w:val="FFFFFF"/>
                <w:sz w:val="22"/>
              </w:rPr>
              <w:t>Settled Value (%)</w:t>
            </w:r>
          </w:p>
        </w:tc>
        <w:tc>
          <w:tcPr>
            <w:tcW w:type="dxa" w:w="1584"/>
            <w:tcMar>
              <w:top w:w="100" w:type="dxa"/>
              <w:bottom w:w="100" w:type="dxa"/>
              <w:left w:w="120" w:type="dxa"/>
              <w:right w:w="120" w:type="dxa"/>
            </w:tcMar>
            <w:shd w:fill="2B2B2B"/>
          </w:tcPr>
          <w:p>
            <w:pPr>
              <w:jc w:val="center"/>
            </w:pPr>
            <w:r>
              <w:rPr>
                <w:rFonts w:ascii="Times New Roman" w:hAnsi="Times New Roman"/>
                <w:b/>
                <w:color w:val="FFFFFF"/>
                <w:sz w:val="22"/>
              </w:rPr>
              <w:t>Runtime (ms)</w:t>
            </w:r>
          </w:p>
        </w:tc>
        <w:tc>
          <w:tcPr>
            <w:tcW w:type="dxa" w:w="1584"/>
            <w:tcMar>
              <w:top w:w="100" w:type="dxa"/>
              <w:bottom w:w="100" w:type="dxa"/>
              <w:left w:w="120" w:type="dxa"/>
              <w:right w:w="120" w:type="dxa"/>
            </w:tcMar>
            <w:shd w:fill="2B2B2B"/>
          </w:tcPr>
          <w:p>
            <w:pPr>
              <w:jc w:val="left"/>
            </w:pPr>
            <w:r>
              <w:rPr>
                <w:rFonts w:ascii="Times New Roman" w:hAnsi="Times New Roman"/>
                <w:b/>
                <w:color w:val="FFFFFF"/>
                <w:sz w:val="22"/>
              </w:rPr>
              <w:t>Algorithmic Role</w:t>
            </w:r>
          </w:p>
        </w:tc>
      </w:tr>
      <w:tr>
        <w:tc>
          <w:tcPr>
            <w:tcW w:type="dxa" w:w="2592"/>
            <w:tcMar>
              <w:top w:w="100" w:type="dxa"/>
              <w:bottom w:w="100" w:type="dxa"/>
              <w:left w:w="120" w:type="dxa"/>
              <w:right w:w="120" w:type="dxa"/>
            </w:tcMar>
            <w:shd w:fill="F9F9F9"/>
          </w:tcPr>
          <w:p>
            <w:pPr>
              <w:jc w:val="left"/>
            </w:pPr>
            <w:r>
              <w:rPr>
                <w:rFonts w:ascii="Times New Roman" w:hAnsi="Times New Roman"/>
                <w:color w:val="000000"/>
                <w:sz w:val="21"/>
              </w:rPr>
              <w:t>All-or-Nothing</w:t>
            </w:r>
          </w:p>
        </w:tc>
        <w:tc>
          <w:tcPr>
            <w:tcW w:type="dxa" w:w="1872"/>
            <w:tcMar>
              <w:top w:w="100" w:type="dxa"/>
              <w:bottom w:w="100" w:type="dxa"/>
              <w:left w:w="120" w:type="dxa"/>
              <w:right w:w="120" w:type="dxa"/>
            </w:tcMar>
            <w:shd w:fill="F9F9F9"/>
          </w:tcPr>
          <w:p>
            <w:pPr>
              <w:jc w:val="center"/>
            </w:pPr>
            <w:r>
              <w:rPr>
                <w:rFonts w:ascii="Times New Roman" w:hAnsi="Times New Roman"/>
                <w:color w:val="000000"/>
                <w:sz w:val="21"/>
              </w:rPr>
              <w:t>0</w:t>
            </w:r>
          </w:p>
        </w:tc>
        <w:tc>
          <w:tcPr>
            <w:tcW w:type="dxa" w:w="1728"/>
            <w:tcMar>
              <w:top w:w="100" w:type="dxa"/>
              <w:bottom w:w="100" w:type="dxa"/>
              <w:left w:w="120" w:type="dxa"/>
              <w:right w:w="120" w:type="dxa"/>
            </w:tcMar>
            <w:shd w:fill="F9F9F9"/>
          </w:tcPr>
          <w:p>
            <w:pPr>
              <w:jc w:val="center"/>
            </w:pPr>
            <w:r>
              <w:rPr>
                <w:rFonts w:ascii="Times New Roman" w:hAnsi="Times New Roman"/>
                <w:color w:val="000000"/>
                <w:sz w:val="21"/>
              </w:rPr>
              <w:t>0.0%</w:t>
            </w:r>
          </w:p>
        </w:tc>
        <w:tc>
          <w:tcPr>
            <w:tcW w:type="dxa" w:w="1584"/>
            <w:tcMar>
              <w:top w:w="100" w:type="dxa"/>
              <w:bottom w:w="100" w:type="dxa"/>
              <w:left w:w="120" w:type="dxa"/>
              <w:right w:w="120" w:type="dxa"/>
            </w:tcMar>
            <w:shd w:fill="F9F9F9"/>
          </w:tcPr>
          <w:p>
            <w:pPr>
              <w:jc w:val="center"/>
            </w:pPr>
            <w:r>
              <w:rPr>
                <w:rFonts w:ascii="Times New Roman" w:hAnsi="Times New Roman"/>
                <w:color w:val="000000"/>
                <w:sz w:val="21"/>
              </w:rPr>
              <w:t>0.19 ms</w:t>
            </w:r>
          </w:p>
        </w:tc>
        <w:tc>
          <w:tcPr>
            <w:tcW w:type="dxa" w:w="1584"/>
            <w:tcMar>
              <w:top w:w="100" w:type="dxa"/>
              <w:bottom w:w="100" w:type="dxa"/>
              <w:left w:w="120" w:type="dxa"/>
              <w:right w:w="120" w:type="dxa"/>
            </w:tcMar>
            <w:shd w:fill="F9F9F9"/>
          </w:tcPr>
          <w:p>
            <w:pPr>
              <w:jc w:val="left"/>
            </w:pPr>
            <w:r>
              <w:rPr>
                <w:rFonts w:ascii="Times New Roman" w:hAnsi="Times New Roman"/>
                <w:color w:val="000000"/>
                <w:sz w:val="21"/>
              </w:rPr>
              <w:t>Legacy Baseline</w:t>
            </w:r>
          </w:p>
        </w:tc>
      </w:tr>
      <w:tr>
        <w:tc>
          <w:tcPr>
            <w:tcW w:type="dxa" w:w="2592"/>
            <w:tcMar>
              <w:top w:w="100" w:type="dxa"/>
              <w:bottom w:w="100" w:type="dxa"/>
              <w:left w:w="120" w:type="dxa"/>
              <w:right w:w="120" w:type="dxa"/>
            </w:tcMar>
            <w:shd w:fill="FFFFFF"/>
          </w:tcPr>
          <w:p>
            <w:pPr>
              <w:jc w:val="left"/>
            </w:pPr>
            <w:r>
              <w:rPr>
                <w:rFonts w:ascii="Times New Roman" w:hAnsi="Times New Roman"/>
                <w:color w:val="000000"/>
                <w:sz w:val="21"/>
              </w:rPr>
              <w:t>Greedy Cumulative</w:t>
            </w:r>
          </w:p>
        </w:tc>
        <w:tc>
          <w:tcPr>
            <w:tcW w:type="dxa" w:w="1872"/>
            <w:tcMar>
              <w:top w:w="100" w:type="dxa"/>
              <w:bottom w:w="100" w:type="dxa"/>
              <w:left w:w="120" w:type="dxa"/>
              <w:right w:w="120" w:type="dxa"/>
            </w:tcMar>
            <w:shd w:fill="FFFFFF"/>
          </w:tcPr>
          <w:p>
            <w:pPr>
              <w:jc w:val="center"/>
            </w:pPr>
            <w:r>
              <w:rPr>
                <w:rFonts w:ascii="Times New Roman" w:hAnsi="Times New Roman"/>
                <w:color w:val="000000"/>
                <w:sz w:val="21"/>
              </w:rPr>
              <w:t>82</w:t>
            </w:r>
          </w:p>
        </w:tc>
        <w:tc>
          <w:tcPr>
            <w:tcW w:type="dxa" w:w="1728"/>
            <w:tcMar>
              <w:top w:w="100" w:type="dxa"/>
              <w:bottom w:w="100" w:type="dxa"/>
              <w:left w:w="120" w:type="dxa"/>
              <w:right w:w="120" w:type="dxa"/>
            </w:tcMar>
            <w:shd w:fill="FFFFFF"/>
          </w:tcPr>
          <w:p>
            <w:pPr>
              <w:jc w:val="center"/>
            </w:pPr>
            <w:r>
              <w:rPr>
                <w:rFonts w:ascii="Times New Roman" w:hAnsi="Times New Roman"/>
                <w:color w:val="000000"/>
                <w:sz w:val="21"/>
              </w:rPr>
              <w:t>16.8%</w:t>
            </w:r>
          </w:p>
        </w:tc>
        <w:tc>
          <w:tcPr>
            <w:tcW w:type="dxa" w:w="1584"/>
            <w:tcMar>
              <w:top w:w="100" w:type="dxa"/>
              <w:bottom w:w="100" w:type="dxa"/>
              <w:left w:w="120" w:type="dxa"/>
              <w:right w:w="120" w:type="dxa"/>
            </w:tcMar>
            <w:shd w:fill="FFFFFF"/>
          </w:tcPr>
          <w:p>
            <w:pPr>
              <w:jc w:val="center"/>
            </w:pPr>
            <w:r>
              <w:rPr>
                <w:rFonts w:ascii="Times New Roman" w:hAnsi="Times New Roman"/>
                <w:color w:val="000000"/>
                <w:sz w:val="21"/>
              </w:rPr>
              <w:t>5.98 ms</w:t>
            </w:r>
          </w:p>
        </w:tc>
        <w:tc>
          <w:tcPr>
            <w:tcW w:type="dxa" w:w="1584"/>
            <w:tcMar>
              <w:top w:w="100" w:type="dxa"/>
              <w:bottom w:w="100" w:type="dxa"/>
              <w:left w:w="120" w:type="dxa"/>
              <w:right w:w="120" w:type="dxa"/>
            </w:tcMar>
            <w:shd w:fill="FFFFFF"/>
          </w:tcPr>
          <w:p>
            <w:pPr>
              <w:jc w:val="left"/>
            </w:pPr>
            <w:r>
              <w:rPr>
                <w:rFonts w:ascii="Times New Roman" w:hAnsi="Times New Roman"/>
                <w:color w:val="000000"/>
                <w:sz w:val="21"/>
              </w:rPr>
              <w:t>Standard Baseline</w:t>
            </w:r>
          </w:p>
        </w:tc>
      </w:tr>
      <w:tr>
        <w:tc>
          <w:tcPr>
            <w:tcW w:type="dxa" w:w="2592"/>
            <w:tcMar>
              <w:top w:w="100" w:type="dxa"/>
              <w:bottom w:w="100" w:type="dxa"/>
              <w:left w:w="120" w:type="dxa"/>
              <w:right w:w="120" w:type="dxa"/>
            </w:tcMar>
            <w:shd w:fill="F9F9F9"/>
          </w:tcPr>
          <w:p>
            <w:pPr>
              <w:jc w:val="left"/>
            </w:pPr>
            <w:r>
              <w:rPr>
                <w:rFonts w:ascii="Times New Roman" w:hAnsi="Times New Roman"/>
                <w:color w:val="000000"/>
                <w:sz w:val="21"/>
              </w:rPr>
              <w:t>Removal Heuristic (RH)</w:t>
            </w:r>
          </w:p>
        </w:tc>
        <w:tc>
          <w:tcPr>
            <w:tcW w:type="dxa" w:w="1872"/>
            <w:tcMar>
              <w:top w:w="100" w:type="dxa"/>
              <w:bottom w:w="100" w:type="dxa"/>
              <w:left w:w="120" w:type="dxa"/>
              <w:right w:w="120" w:type="dxa"/>
            </w:tcMar>
            <w:shd w:fill="F9F9F9"/>
          </w:tcPr>
          <w:p>
            <w:pPr>
              <w:jc w:val="center"/>
            </w:pPr>
            <w:r>
              <w:rPr>
                <w:rFonts w:ascii="Times New Roman" w:hAnsi="Times New Roman"/>
                <w:color w:val="000000"/>
                <w:sz w:val="21"/>
              </w:rPr>
              <w:t>233</w:t>
            </w:r>
          </w:p>
        </w:tc>
        <w:tc>
          <w:tcPr>
            <w:tcW w:type="dxa" w:w="1728"/>
            <w:tcMar>
              <w:top w:w="100" w:type="dxa"/>
              <w:bottom w:w="100" w:type="dxa"/>
              <w:left w:w="120" w:type="dxa"/>
              <w:right w:w="120" w:type="dxa"/>
            </w:tcMar>
            <w:shd w:fill="F9F9F9"/>
          </w:tcPr>
          <w:p>
            <w:pPr>
              <w:jc w:val="center"/>
            </w:pPr>
            <w:r>
              <w:rPr>
                <w:rFonts w:ascii="Times New Roman" w:hAnsi="Times New Roman"/>
                <w:color w:val="000000"/>
                <w:sz w:val="21"/>
              </w:rPr>
              <w:t>60.2%</w:t>
            </w:r>
          </w:p>
        </w:tc>
        <w:tc>
          <w:tcPr>
            <w:tcW w:type="dxa" w:w="1584"/>
            <w:tcMar>
              <w:top w:w="100" w:type="dxa"/>
              <w:bottom w:w="100" w:type="dxa"/>
              <w:left w:w="120" w:type="dxa"/>
              <w:right w:w="120" w:type="dxa"/>
            </w:tcMar>
            <w:shd w:fill="F9F9F9"/>
          </w:tcPr>
          <w:p>
            <w:pPr>
              <w:jc w:val="center"/>
            </w:pPr>
            <w:r>
              <w:rPr>
                <w:rFonts w:ascii="Times New Roman" w:hAnsi="Times New Roman"/>
                <w:color w:val="000000"/>
                <w:sz w:val="21"/>
              </w:rPr>
              <w:t>29.74 ms</w:t>
            </w:r>
          </w:p>
        </w:tc>
        <w:tc>
          <w:tcPr>
            <w:tcW w:type="dxa" w:w="1584"/>
            <w:tcMar>
              <w:top w:w="100" w:type="dxa"/>
              <w:bottom w:w="100" w:type="dxa"/>
              <w:left w:w="120" w:type="dxa"/>
              <w:right w:w="120" w:type="dxa"/>
            </w:tcMar>
            <w:shd w:fill="F9F9F9"/>
          </w:tcPr>
          <w:p>
            <w:pPr>
              <w:jc w:val="left"/>
            </w:pPr>
            <w:r>
              <w:rPr>
                <w:rFonts w:ascii="Times New Roman" w:hAnsi="Times New Roman"/>
                <w:color w:val="000000"/>
                <w:sz w:val="21"/>
              </w:rPr>
              <w:t>Heuristic Baseline</w:t>
            </w:r>
          </w:p>
        </w:tc>
      </w:tr>
      <w:tr>
        <w:tc>
          <w:tcPr>
            <w:tcW w:type="dxa" w:w="2592"/>
            <w:tcMar>
              <w:top w:w="100" w:type="dxa"/>
              <w:bottom w:w="100" w:type="dxa"/>
              <w:left w:w="120" w:type="dxa"/>
              <w:right w:w="120" w:type="dxa"/>
            </w:tcMar>
            <w:shd w:fill="FFFFFF"/>
          </w:tcPr>
          <w:p>
            <w:pPr>
              <w:jc w:val="left"/>
            </w:pPr>
            <w:r>
              <w:rPr>
                <w:rFonts w:ascii="Times New Roman" w:hAnsi="Times New Roman"/>
                <w:color w:val="000000"/>
                <w:sz w:val="21"/>
              </w:rPr>
              <w:t>BCGR (Proposed)</w:t>
            </w:r>
          </w:p>
        </w:tc>
        <w:tc>
          <w:tcPr>
            <w:tcW w:type="dxa" w:w="1872"/>
            <w:tcMar>
              <w:top w:w="100" w:type="dxa"/>
              <w:bottom w:w="100" w:type="dxa"/>
              <w:left w:w="120" w:type="dxa"/>
              <w:right w:w="120" w:type="dxa"/>
            </w:tcMar>
            <w:shd w:fill="FFFFFF"/>
          </w:tcPr>
          <w:p>
            <w:pPr>
              <w:jc w:val="center"/>
            </w:pPr>
            <w:r>
              <w:rPr>
                <w:rFonts w:ascii="Times New Roman" w:hAnsi="Times New Roman"/>
                <w:color w:val="000000"/>
                <w:sz w:val="21"/>
              </w:rPr>
              <w:t>236</w:t>
            </w:r>
          </w:p>
        </w:tc>
        <w:tc>
          <w:tcPr>
            <w:tcW w:type="dxa" w:w="1728"/>
            <w:tcMar>
              <w:top w:w="100" w:type="dxa"/>
              <w:bottom w:w="100" w:type="dxa"/>
              <w:left w:w="120" w:type="dxa"/>
              <w:right w:w="120" w:type="dxa"/>
            </w:tcMar>
            <w:shd w:fill="FFFFFF"/>
          </w:tcPr>
          <w:p>
            <w:pPr>
              <w:jc w:val="center"/>
            </w:pPr>
            <w:r>
              <w:rPr>
                <w:rFonts w:ascii="Times New Roman" w:hAnsi="Times New Roman"/>
                <w:color w:val="000000"/>
                <w:sz w:val="21"/>
              </w:rPr>
              <w:t>62.3%</w:t>
            </w:r>
          </w:p>
        </w:tc>
        <w:tc>
          <w:tcPr>
            <w:tcW w:type="dxa" w:w="1584"/>
            <w:tcMar>
              <w:top w:w="100" w:type="dxa"/>
              <w:bottom w:w="100" w:type="dxa"/>
              <w:left w:w="120" w:type="dxa"/>
              <w:right w:w="120" w:type="dxa"/>
            </w:tcMar>
            <w:shd w:fill="FFFFFF"/>
          </w:tcPr>
          <w:p>
            <w:pPr>
              <w:jc w:val="center"/>
            </w:pPr>
            <w:r>
              <w:rPr>
                <w:rFonts w:ascii="Times New Roman" w:hAnsi="Times New Roman"/>
                <w:color w:val="000000"/>
                <w:sz w:val="21"/>
              </w:rPr>
              <w:t>27.52 ms</w:t>
            </w:r>
          </w:p>
        </w:tc>
        <w:tc>
          <w:tcPr>
            <w:tcW w:type="dxa" w:w="1584"/>
            <w:tcMar>
              <w:top w:w="100" w:type="dxa"/>
              <w:bottom w:w="100" w:type="dxa"/>
              <w:left w:w="120" w:type="dxa"/>
              <w:right w:w="120" w:type="dxa"/>
            </w:tcMar>
            <w:shd w:fill="FFFFFF"/>
          </w:tcPr>
          <w:p>
            <w:pPr>
              <w:jc w:val="left"/>
            </w:pPr>
            <w:r>
              <w:rPr>
                <w:rFonts w:ascii="Times New Roman" w:hAnsi="Times New Roman"/>
                <w:color w:val="000000"/>
                <w:sz w:val="21"/>
              </w:rPr>
              <w:t>Novel Contribution</w:t>
            </w:r>
          </w:p>
        </w:tc>
      </w:tr>
      <w:tr>
        <w:tc>
          <w:tcPr>
            <w:tcW w:type="dxa" w:w="2592"/>
            <w:tcMar>
              <w:top w:w="100" w:type="dxa"/>
              <w:bottom w:w="100" w:type="dxa"/>
              <w:left w:w="120" w:type="dxa"/>
              <w:right w:w="120" w:type="dxa"/>
            </w:tcMar>
            <w:shd w:fill="F9F9F9"/>
          </w:tcPr>
          <w:p>
            <w:pPr>
              <w:jc w:val="left"/>
            </w:pPr>
            <w:r>
              <w:rPr>
                <w:rFonts w:ascii="Times New Roman" w:hAnsi="Times New Roman"/>
                <w:color w:val="000000"/>
                <w:sz w:val="21"/>
              </w:rPr>
              <w:t>Hub-Spoke Clearing (HSC)</w:t>
            </w:r>
          </w:p>
        </w:tc>
        <w:tc>
          <w:tcPr>
            <w:tcW w:type="dxa" w:w="1872"/>
            <w:tcMar>
              <w:top w:w="100" w:type="dxa"/>
              <w:bottom w:w="100" w:type="dxa"/>
              <w:left w:w="120" w:type="dxa"/>
              <w:right w:w="120" w:type="dxa"/>
            </w:tcMar>
            <w:shd w:fill="F9F9F9"/>
          </w:tcPr>
          <w:p>
            <w:pPr>
              <w:jc w:val="center"/>
            </w:pPr>
            <w:r>
              <w:rPr>
                <w:rFonts w:ascii="Times New Roman" w:hAnsi="Times New Roman"/>
                <w:color w:val="000000"/>
                <w:sz w:val="21"/>
              </w:rPr>
              <w:t>52</w:t>
            </w:r>
          </w:p>
        </w:tc>
        <w:tc>
          <w:tcPr>
            <w:tcW w:type="dxa" w:w="1728"/>
            <w:tcMar>
              <w:top w:w="100" w:type="dxa"/>
              <w:bottom w:w="100" w:type="dxa"/>
              <w:left w:w="120" w:type="dxa"/>
              <w:right w:w="120" w:type="dxa"/>
            </w:tcMar>
            <w:shd w:fill="F9F9F9"/>
          </w:tcPr>
          <w:p>
            <w:pPr>
              <w:jc w:val="center"/>
            </w:pPr>
            <w:r>
              <w:rPr>
                <w:rFonts w:ascii="Times New Roman" w:hAnsi="Times New Roman"/>
                <w:color w:val="000000"/>
                <w:sz w:val="21"/>
              </w:rPr>
              <w:t>10.0%</w:t>
            </w:r>
          </w:p>
        </w:tc>
        <w:tc>
          <w:tcPr>
            <w:tcW w:type="dxa" w:w="1584"/>
            <w:tcMar>
              <w:top w:w="100" w:type="dxa"/>
              <w:bottom w:w="100" w:type="dxa"/>
              <w:left w:w="120" w:type="dxa"/>
              <w:right w:w="120" w:type="dxa"/>
            </w:tcMar>
            <w:shd w:fill="F9F9F9"/>
          </w:tcPr>
          <w:p>
            <w:pPr>
              <w:jc w:val="center"/>
            </w:pPr>
            <w:r>
              <w:rPr>
                <w:rFonts w:ascii="Times New Roman" w:hAnsi="Times New Roman"/>
                <w:color w:val="000000"/>
                <w:sz w:val="21"/>
              </w:rPr>
              <w:t>4.12 ms</w:t>
            </w:r>
          </w:p>
        </w:tc>
        <w:tc>
          <w:tcPr>
            <w:tcW w:type="dxa" w:w="1584"/>
            <w:tcMar>
              <w:top w:w="100" w:type="dxa"/>
              <w:bottom w:w="100" w:type="dxa"/>
              <w:left w:w="120" w:type="dxa"/>
              <w:right w:w="120" w:type="dxa"/>
            </w:tcMar>
            <w:shd w:fill="F9F9F9"/>
          </w:tcPr>
          <w:p>
            <w:pPr>
              <w:jc w:val="left"/>
            </w:pPr>
            <w:r>
              <w:rPr>
                <w:rFonts w:ascii="Times New Roman" w:hAnsi="Times New Roman"/>
                <w:color w:val="000000"/>
                <w:sz w:val="21"/>
              </w:rPr>
              <w:t>Novel Fast-Path</w:t>
            </w:r>
          </w:p>
        </w:tc>
      </w:tr>
    </w:tbl>
    <w:p>
      <w:pPr>
        <w:spacing w:before="80" w:after="240"/>
        <w:jc w:val="center"/>
      </w:pPr>
      <w:r>
        <w:rPr>
          <w:rFonts w:ascii="Times New Roman" w:hAnsi="Times New Roman"/>
          <w:b/>
          <w:color w:val="1E1E1E"/>
          <w:sz w:val="21"/>
        </w:rPr>
        <w:t xml:space="preserve">Table 2. </w:t>
      </w:r>
      <w:r>
        <w:rPr>
          <w:rFonts w:ascii="Times New Roman" w:hAnsi="Times New Roman"/>
          <w:i/>
          <w:color w:val="282828"/>
          <w:sz w:val="21"/>
        </w:rPr>
        <w:t>Algorithmic benchmark results on Stanford SNAP Bitcoin OTC dataset (alpha = 0.10).</w:t>
      </w:r>
    </w:p>
    <w:p>
      <w:pPr>
        <w:spacing w:after="120" w:line="276" w:lineRule="auto"/>
        <w:jc w:val="both"/>
      </w:pPr>
      <w:r>
        <w:rPr>
          <w:rFonts w:ascii="Times New Roman" w:hAnsi="Times New Roman"/>
          <w:color w:val="000000"/>
          <w:sz w:val="24"/>
        </w:rPr>
        <w:t>Key benchmark findings: (1) All-or-Nothing catastrophic failure: Because at least one bank experienced a deficit, All-or-Nothing aborted the entire batch, clearing 0 payments (0.0% value). (2) BCGR superiority: BCGR cleared 236 payments (62.3% value) in 27.52 ms, rescuing 3 additional payments (+2.1 percentage points) over RH while executing faster due to early cycle extraction. (3) HSC ultra-low latency: HSC executed in only 4.12 ms, validating its efficacy as a rapid pre-clearing stage.</w:t>
      </w:r>
    </w:p>
    <w:p>
      <w:pPr>
        <w:keepNext/>
        <w:spacing w:before="260" w:after="80"/>
      </w:pPr>
      <w:r>
        <w:rPr>
          <w:rFonts w:ascii="Times New Roman" w:hAnsi="Times New Roman"/>
          <w:b/>
          <w:color w:val="1E1E1E"/>
          <w:sz w:val="28"/>
        </w:rPr>
        <w:t>10.2 Live AWS Serverless Deployment Validation</w:t>
      </w:r>
    </w:p>
    <w:p>
      <w:pPr>
        <w:spacing w:after="120" w:line="276" w:lineRule="auto"/>
        <w:jc w:val="both"/>
      </w:pPr>
      <w:r>
        <w:rPr>
          <w:rFonts w:ascii="Times New Roman" w:hAnsi="Times New Roman"/>
          <w:color w:val="000000"/>
          <w:sz w:val="24"/>
        </w:rPr>
        <w:t>Table 3 summarizes the empirical verification outcomes across the three live production scenarios executed on the deployed AWS stack:</w:t>
      </w:r>
    </w:p>
    <w:tbl>
      <w:tblPr>
        <w:tblW w:type="auto" w:w="0"/>
        <w:jc w:val="center"/>
        <w:tblLook w:firstColumn="1" w:firstRow="1" w:lastColumn="0" w:lastRow="0" w:noHBand="0" w:noVBand="1" w:val="04A0"/>
        <w:tblBorders>
          <w:top w:val="single" w:sz="6" w:space="0" w:color="888888"/>
          <w:bottom w:val="single" w:sz="6" w:space="0" w:color="888888"/>
          <w:insideH w:val="single" w:sz="4" w:space="0" w:color="CCCCCC"/>
          <w:left w:val="none"/>
          <w:right w:val="none"/>
          <w:insideV w:val="none"/>
        </w:tblBorders>
      </w:tblPr>
      <w:tblGrid>
        <w:gridCol w:w="1872"/>
        <w:gridCol w:w="1872"/>
        <w:gridCol w:w="1872"/>
        <w:gridCol w:w="1872"/>
        <w:gridCol w:w="1872"/>
      </w:tblGrid>
      <w:tr>
        <w:tc>
          <w:tcPr>
            <w:tcW w:type="dxa" w:w="1728"/>
            <w:tcMar>
              <w:top w:w="100" w:type="dxa"/>
              <w:bottom w:w="100" w:type="dxa"/>
              <w:left w:w="110" w:type="dxa"/>
              <w:right w:w="110" w:type="dxa"/>
            </w:tcMar>
            <w:shd w:fill="2B2B2B"/>
          </w:tcPr>
          <w:p>
            <w:pPr>
              <w:jc w:val="left"/>
            </w:pPr>
            <w:r>
              <w:rPr>
                <w:rFonts w:ascii="Times New Roman" w:hAnsi="Times New Roman"/>
                <w:b/>
                <w:color w:val="FFFFFF"/>
                <w:sz w:val="22"/>
              </w:rPr>
              <w:t>Scenario</w:t>
            </w:r>
          </w:p>
        </w:tc>
        <w:tc>
          <w:tcPr>
            <w:tcW w:type="dxa" w:w="2160"/>
            <w:tcMar>
              <w:top w:w="100" w:type="dxa"/>
              <w:bottom w:w="100" w:type="dxa"/>
              <w:left w:w="110" w:type="dxa"/>
              <w:right w:w="110" w:type="dxa"/>
            </w:tcMar>
            <w:shd w:fill="2B2B2B"/>
          </w:tcPr>
          <w:p>
            <w:pPr>
              <w:jc w:val="left"/>
            </w:pPr>
            <w:r>
              <w:rPr>
                <w:rFonts w:ascii="Times New Roman" w:hAnsi="Times New Roman"/>
                <w:b/>
                <w:color w:val="FFFFFF"/>
                <w:sz w:val="22"/>
              </w:rPr>
              <w:t>Input Obligations</w:t>
            </w:r>
          </w:p>
        </w:tc>
        <w:tc>
          <w:tcPr>
            <w:tcW w:type="dxa" w:w="1584"/>
            <w:tcMar>
              <w:top w:w="100" w:type="dxa"/>
              <w:bottom w:w="100" w:type="dxa"/>
              <w:left w:w="110" w:type="dxa"/>
              <w:right w:w="110" w:type="dxa"/>
            </w:tcMar>
            <w:shd w:fill="2B2B2B"/>
          </w:tcPr>
          <w:p>
            <w:pPr>
              <w:jc w:val="center"/>
            </w:pPr>
            <w:r>
              <w:rPr>
                <w:rFonts w:ascii="Times New Roman" w:hAnsi="Times New Roman"/>
                <w:b/>
                <w:color w:val="FFFFFF"/>
                <w:sz w:val="22"/>
              </w:rPr>
              <w:t>Cloud Decision</w:t>
            </w:r>
          </w:p>
        </w:tc>
        <w:tc>
          <w:tcPr>
            <w:tcW w:type="dxa" w:w="1728"/>
            <w:tcMar>
              <w:top w:w="100" w:type="dxa"/>
              <w:bottom w:w="100" w:type="dxa"/>
              <w:left w:w="110" w:type="dxa"/>
              <w:right w:w="110" w:type="dxa"/>
            </w:tcMar>
            <w:shd w:fill="2B2B2B"/>
          </w:tcPr>
          <w:p>
            <w:pPr>
              <w:jc w:val="left"/>
            </w:pPr>
            <w:r>
              <w:rPr>
                <w:rFonts w:ascii="Times New Roman" w:hAnsi="Times New Roman"/>
                <w:b/>
                <w:color w:val="FFFFFF"/>
                <w:sz w:val="22"/>
              </w:rPr>
              <w:t>DynamoDB Status</w:t>
            </w:r>
          </w:p>
        </w:tc>
        <w:tc>
          <w:tcPr>
            <w:tcW w:type="dxa" w:w="2160"/>
            <w:tcMar>
              <w:top w:w="100" w:type="dxa"/>
              <w:bottom w:w="100" w:type="dxa"/>
              <w:left w:w="110" w:type="dxa"/>
              <w:right w:w="110" w:type="dxa"/>
            </w:tcMar>
            <w:shd w:fill="2B2B2B"/>
          </w:tcPr>
          <w:p>
            <w:pPr>
              <w:jc w:val="left"/>
            </w:pPr>
            <w:r>
              <w:rPr>
                <w:rFonts w:ascii="Times New Roman" w:hAnsi="Times New Roman"/>
                <w:b/>
                <w:color w:val="FFFFFF"/>
                <w:sz w:val="22"/>
              </w:rPr>
              <w:t>Ledger &amp; Conservation Audit</w:t>
            </w:r>
          </w:p>
        </w:tc>
      </w:tr>
      <w:tr>
        <w:tc>
          <w:tcPr>
            <w:tcW w:type="dxa" w:w="1728"/>
            <w:tcMar>
              <w:top w:w="100" w:type="dxa"/>
              <w:bottom w:w="100" w:type="dxa"/>
              <w:left w:w="110" w:type="dxa"/>
              <w:right w:w="110" w:type="dxa"/>
            </w:tcMar>
            <w:shd w:fill="F9F9F9"/>
          </w:tcPr>
          <w:p>
            <w:pPr>
              <w:jc w:val="left"/>
            </w:pPr>
            <w:r>
              <w:rPr>
                <w:rFonts w:ascii="Times New Roman" w:hAnsi="Times New Roman"/>
                <w:color w:val="000000"/>
                <w:sz w:val="20"/>
              </w:rPr>
              <w:t>Normal Payments</w:t>
            </w:r>
          </w:p>
        </w:tc>
        <w:tc>
          <w:tcPr>
            <w:tcW w:type="dxa" w:w="2160"/>
            <w:tcMar>
              <w:top w:w="100" w:type="dxa"/>
              <w:bottom w:w="100" w:type="dxa"/>
              <w:left w:w="110" w:type="dxa"/>
              <w:right w:w="110" w:type="dxa"/>
            </w:tcMar>
            <w:shd w:fill="F9F9F9"/>
          </w:tcPr>
          <w:p>
            <w:pPr>
              <w:jc w:val="left"/>
            </w:pPr>
            <w:r>
              <w:rPr>
                <w:rFonts w:ascii="Times New Roman" w:hAnsi="Times New Roman"/>
                <w:color w:val="000000"/>
                <w:sz w:val="20"/>
              </w:rPr>
              <w:t>3 payments: 10.00, 7.00, 5.00 (A-&gt;B, B-&gt;C, C-&gt;A)</w:t>
            </w:r>
          </w:p>
        </w:tc>
        <w:tc>
          <w:tcPr>
            <w:tcW w:type="dxa" w:w="1584"/>
            <w:tcMar>
              <w:top w:w="100" w:type="dxa"/>
              <w:bottom w:w="100" w:type="dxa"/>
              <w:left w:w="110" w:type="dxa"/>
              <w:right w:w="110" w:type="dxa"/>
            </w:tcMar>
            <w:shd w:fill="F9F9F9"/>
          </w:tcPr>
          <w:p>
            <w:pPr>
              <w:jc w:val="center"/>
            </w:pPr>
            <w:r>
              <w:rPr>
                <w:rFonts w:ascii="Times New Roman" w:hAnsi="Times New Roman"/>
                <w:color w:val="000000"/>
                <w:sz w:val="20"/>
              </w:rPr>
              <w:t>All 3 settled</w:t>
            </w:r>
          </w:p>
        </w:tc>
        <w:tc>
          <w:tcPr>
            <w:tcW w:type="dxa" w:w="1728"/>
            <w:tcMar>
              <w:top w:w="100" w:type="dxa"/>
              <w:bottom w:w="100" w:type="dxa"/>
              <w:left w:w="110" w:type="dxa"/>
              <w:right w:w="110" w:type="dxa"/>
            </w:tcMar>
            <w:shd w:fill="F9F9F9"/>
          </w:tcPr>
          <w:p>
            <w:pPr>
              <w:jc w:val="left"/>
            </w:pPr>
            <w:r>
              <w:rPr>
                <w:rFonts w:ascii="Times New Roman" w:hAnsi="Times New Roman"/>
                <w:color w:val="000000"/>
                <w:sz w:val="20"/>
              </w:rPr>
              <w:t>3 SETTLED, 2 ledger entries each</w:t>
            </w:r>
          </w:p>
        </w:tc>
        <w:tc>
          <w:tcPr>
            <w:tcW w:type="dxa" w:w="2160"/>
            <w:tcMar>
              <w:top w:w="100" w:type="dxa"/>
              <w:bottom w:w="100" w:type="dxa"/>
              <w:left w:w="110" w:type="dxa"/>
              <w:right w:w="110" w:type="dxa"/>
            </w:tcMar>
            <w:shd w:fill="F9F9F9"/>
          </w:tcPr>
          <w:p>
            <w:pPr>
              <w:jc w:val="left"/>
            </w:pPr>
            <w:r>
              <w:rPr>
                <w:rFonts w:ascii="Times New Roman" w:hAnsi="Times New Roman"/>
                <w:color w:val="000000"/>
                <w:sz w:val="20"/>
              </w:rPr>
              <w:t>3/3 ledger verified, Balances: 968, 1012, 1020, Total: 3000 (PASS)</w:t>
            </w:r>
          </w:p>
        </w:tc>
      </w:tr>
      <w:tr>
        <w:tc>
          <w:tcPr>
            <w:tcW w:type="dxa" w:w="1728"/>
            <w:tcMar>
              <w:top w:w="100" w:type="dxa"/>
              <w:bottom w:w="100" w:type="dxa"/>
              <w:left w:w="110" w:type="dxa"/>
              <w:right w:w="110" w:type="dxa"/>
            </w:tcMar>
            <w:shd w:fill="FFFFFF"/>
          </w:tcPr>
          <w:p>
            <w:pPr>
              <w:jc w:val="left"/>
            </w:pPr>
            <w:r>
              <w:rPr>
                <w:rFonts w:ascii="Times New Roman" w:hAnsi="Times New Roman"/>
                <w:color w:val="000000"/>
                <w:sz w:val="20"/>
              </w:rPr>
              <w:t>Insufficient Liquidity</w:t>
            </w:r>
          </w:p>
        </w:tc>
        <w:tc>
          <w:tcPr>
            <w:tcW w:type="dxa" w:w="2160"/>
            <w:tcMar>
              <w:top w:w="100" w:type="dxa"/>
              <w:bottom w:w="100" w:type="dxa"/>
              <w:left w:w="110" w:type="dxa"/>
              <w:right w:w="110" w:type="dxa"/>
            </w:tcMar>
            <w:shd w:fill="FFFFFF"/>
          </w:tcPr>
          <w:p>
            <w:pPr>
              <w:jc w:val="left"/>
            </w:pPr>
            <w:r>
              <w:rPr>
                <w:rFonts w:ascii="Times New Roman" w:hAnsi="Times New Roman"/>
                <w:color w:val="000000"/>
                <w:sz w:val="20"/>
              </w:rPr>
              <w:t>1 payment: 1068.00 from Bank A (balance 968.00)</w:t>
            </w:r>
          </w:p>
        </w:tc>
        <w:tc>
          <w:tcPr>
            <w:tcW w:type="dxa" w:w="1584"/>
            <w:tcMar>
              <w:top w:w="100" w:type="dxa"/>
              <w:bottom w:w="100" w:type="dxa"/>
              <w:left w:w="110" w:type="dxa"/>
              <w:right w:w="110" w:type="dxa"/>
            </w:tcMar>
            <w:shd w:fill="FFFFFF"/>
          </w:tcPr>
          <w:p>
            <w:pPr>
              <w:jc w:val="center"/>
            </w:pPr>
            <w:r>
              <w:rPr>
                <w:rFonts w:ascii="Times New Roman" w:hAnsi="Times New Roman"/>
                <w:color w:val="000000"/>
                <w:sz w:val="20"/>
              </w:rPr>
              <w:t>Deferred</w:t>
            </w:r>
          </w:p>
        </w:tc>
        <w:tc>
          <w:tcPr>
            <w:tcW w:type="dxa" w:w="1728"/>
            <w:tcMar>
              <w:top w:w="100" w:type="dxa"/>
              <w:bottom w:w="100" w:type="dxa"/>
              <w:left w:w="110" w:type="dxa"/>
              <w:right w:w="110" w:type="dxa"/>
            </w:tcMar>
            <w:shd w:fill="FFFFFF"/>
          </w:tcPr>
          <w:p>
            <w:pPr>
              <w:jc w:val="left"/>
            </w:pPr>
            <w:r>
              <w:rPr>
                <w:rFonts w:ascii="Times New Roman" w:hAnsi="Times New Roman"/>
                <w:color w:val="000000"/>
                <w:sz w:val="20"/>
              </w:rPr>
              <w:t>PENDING, 0 ledger entries</w:t>
            </w:r>
          </w:p>
        </w:tc>
        <w:tc>
          <w:tcPr>
            <w:tcW w:type="dxa" w:w="2160"/>
            <w:tcMar>
              <w:top w:w="100" w:type="dxa"/>
              <w:bottom w:w="100" w:type="dxa"/>
              <w:left w:w="110" w:type="dxa"/>
              <w:right w:w="110" w:type="dxa"/>
            </w:tcMar>
            <w:shd w:fill="FFFFFF"/>
          </w:tcPr>
          <w:p>
            <w:pPr>
              <w:jc w:val="left"/>
            </w:pPr>
            <w:r>
              <w:rPr>
                <w:rFonts w:ascii="Times New Roman" w:hAnsi="Times New Roman"/>
                <w:color w:val="000000"/>
                <w:sz w:val="20"/>
              </w:rPr>
              <w:t>Balances unchanged: 968, 1012, 1020, Overdraft prevented (PASS)</w:t>
            </w:r>
          </w:p>
        </w:tc>
      </w:tr>
      <w:tr>
        <w:tc>
          <w:tcPr>
            <w:tcW w:type="dxa" w:w="1728"/>
            <w:tcMar>
              <w:top w:w="100" w:type="dxa"/>
              <w:bottom w:w="100" w:type="dxa"/>
              <w:left w:w="110" w:type="dxa"/>
              <w:right w:w="110" w:type="dxa"/>
            </w:tcMar>
            <w:shd w:fill="F9F9F9"/>
          </w:tcPr>
          <w:p>
            <w:pPr>
              <w:jc w:val="left"/>
            </w:pPr>
            <w:r>
              <w:rPr>
                <w:rFonts w:ascii="Times New Roman" w:hAnsi="Times New Roman"/>
                <w:color w:val="000000"/>
                <w:sz w:val="20"/>
              </w:rPr>
              <w:t>Circular Gridlock</w:t>
            </w:r>
          </w:p>
        </w:tc>
        <w:tc>
          <w:tcPr>
            <w:tcW w:type="dxa" w:w="2160"/>
            <w:tcMar>
              <w:top w:w="100" w:type="dxa"/>
              <w:bottom w:w="100" w:type="dxa"/>
              <w:left w:w="110" w:type="dxa"/>
              <w:right w:w="110" w:type="dxa"/>
            </w:tcMar>
            <w:shd w:fill="F9F9F9"/>
          </w:tcPr>
          <w:p>
            <w:pPr>
              <w:jc w:val="left"/>
            </w:pPr>
            <w:r>
              <w:rPr>
                <w:rFonts w:ascii="Times New Roman" w:hAnsi="Times New Roman"/>
                <w:color w:val="000000"/>
                <w:sz w:val="20"/>
              </w:rPr>
              <w:t>3 payments: 1120.00 cycle (A-&gt;B, B-&gt;C, C-&gt;A)</w:t>
            </w:r>
          </w:p>
        </w:tc>
        <w:tc>
          <w:tcPr>
            <w:tcW w:type="dxa" w:w="1584"/>
            <w:tcMar>
              <w:top w:w="100" w:type="dxa"/>
              <w:bottom w:w="100" w:type="dxa"/>
              <w:left w:w="110" w:type="dxa"/>
              <w:right w:w="110" w:type="dxa"/>
            </w:tcMar>
            <w:shd w:fill="F9F9F9"/>
          </w:tcPr>
          <w:p>
            <w:pPr>
              <w:jc w:val="center"/>
            </w:pPr>
            <w:r>
              <w:rPr>
                <w:rFonts w:ascii="Times New Roman" w:hAnsi="Times New Roman"/>
                <w:color w:val="000000"/>
                <w:sz w:val="20"/>
              </w:rPr>
              <w:t>All 3 settled via BCGR</w:t>
            </w:r>
          </w:p>
        </w:tc>
        <w:tc>
          <w:tcPr>
            <w:tcW w:type="dxa" w:w="1728"/>
            <w:tcMar>
              <w:top w:w="100" w:type="dxa"/>
              <w:bottom w:w="100" w:type="dxa"/>
              <w:left w:w="110" w:type="dxa"/>
              <w:right w:w="110" w:type="dxa"/>
            </w:tcMar>
            <w:shd w:fill="F9F9F9"/>
          </w:tcPr>
          <w:p>
            <w:pPr>
              <w:jc w:val="left"/>
            </w:pPr>
            <w:r>
              <w:rPr>
                <w:rFonts w:ascii="Times New Roman" w:hAnsi="Times New Roman"/>
                <w:color w:val="000000"/>
                <w:sz w:val="20"/>
              </w:rPr>
              <w:t>3 SETTLED, 2 ledger entries each</w:t>
            </w:r>
          </w:p>
        </w:tc>
        <w:tc>
          <w:tcPr>
            <w:tcW w:type="dxa" w:w="2160"/>
            <w:tcMar>
              <w:top w:w="100" w:type="dxa"/>
              <w:bottom w:w="100" w:type="dxa"/>
              <w:left w:w="110" w:type="dxa"/>
              <w:right w:w="110" w:type="dxa"/>
            </w:tcMar>
            <w:shd w:fill="F9F9F9"/>
          </w:tcPr>
          <w:p>
            <w:pPr>
              <w:jc w:val="left"/>
            </w:pPr>
            <w:r>
              <w:rPr>
                <w:rFonts w:ascii="Times New Roman" w:hAnsi="Times New Roman"/>
                <w:color w:val="000000"/>
                <w:sz w:val="20"/>
              </w:rPr>
              <w:t>3/3 ledger verified, Balances unchanged: 968, 1012, 1020 (PASS)</w:t>
            </w:r>
          </w:p>
        </w:tc>
      </w:tr>
    </w:tbl>
    <w:p>
      <w:pPr>
        <w:spacing w:before="80" w:after="240"/>
        <w:jc w:val="center"/>
      </w:pPr>
      <w:r>
        <w:rPr>
          <w:rFonts w:ascii="Times New Roman" w:hAnsi="Times New Roman"/>
          <w:b/>
          <w:color w:val="1E1E1E"/>
          <w:sz w:val="21"/>
        </w:rPr>
        <w:t xml:space="preserve">Table 3. </w:t>
      </w:r>
      <w:r>
        <w:rPr>
          <w:rFonts w:ascii="Times New Roman" w:hAnsi="Times New Roman"/>
          <w:i/>
          <w:color w:val="282828"/>
          <w:sz w:val="21"/>
        </w:rPr>
        <w:t>Live AWS production scenario validation results in ap-south-1 (Mumbai).</w:t>
      </w:r>
    </w:p>
    <w:p>
      <w:pPr>
        <w:keepNext/>
        <w:spacing w:before="260" w:after="80"/>
      </w:pPr>
      <w:r>
        <w:rPr>
          <w:rFonts w:ascii="Times New Roman" w:hAnsi="Times New Roman"/>
          <w:b/>
          <w:color w:val="1E1E1E"/>
          <w:sz w:val="28"/>
        </w:rPr>
        <w:t>10.3 Cloud Cost and Free-Tier Analysis</w:t>
      </w:r>
    </w:p>
    <w:p>
      <w:pPr>
        <w:spacing w:after="120" w:line="276" w:lineRule="auto"/>
        <w:jc w:val="both"/>
      </w:pPr>
      <w:r>
        <w:rPr>
          <w:rFonts w:ascii="Times New Roman" w:hAnsi="Times New Roman"/>
          <w:color w:val="000000"/>
          <w:sz w:val="24"/>
        </w:rPr>
        <w:t>ClearPay was specifically engineered to operate entirely within the AWS Free Tier. Across all benchmark runs and live test scenarios, AWS consumption was logged as: (1) AWS Lambda: 256 MB arm64 memory with average execution duration under 35 ms (well within the 1,000,000 free requests/month and 3.2M seconds of compute), (2) DynamoDB: On-demand pay-per-request mode with single-digit read/write units consumed (within the 25 GB free storage and 25 WCU/RCU allowance), (3) Amazon SQS: Under 500 messages (within 1,000,000 free requests/month), (4) Amazon S3: Under 5 MB stored (within 5 GB standard free tier), and (5) AWS Step Functions: Under 200 state transitions (within 4,000 free state transitions/month). The total billed AWS expenditure for development, testing, and deployment was exactly $0.00.</w:t>
      </w:r>
    </w:p>
    <w:p>
      <w:pPr>
        <w:keepNext/>
        <w:spacing w:before="360" w:after="120"/>
      </w:pPr>
      <w:r>
        <w:rPr>
          <w:rFonts w:ascii="Times New Roman" w:hAnsi="Times New Roman"/>
          <w:b/>
          <w:color w:val="000000"/>
          <w:sz w:val="32"/>
        </w:rPr>
        <w:t>11. Conclusion:</w:t>
      </w:r>
    </w:p>
    <w:p>
      <w:pPr>
        <w:spacing w:after="120" w:line="276" w:lineRule="auto"/>
        <w:jc w:val="both"/>
      </w:pPr>
      <w:r>
        <w:rPr>
          <w:rFonts w:ascii="Times New Roman" w:hAnsi="Times New Roman"/>
          <w:color w:val="000000"/>
          <w:sz w:val="24"/>
        </w:rPr>
        <w:t>This project successfully designed, implemented, and verified ClearPay, a production-grade, liquidity-aware, fault-tolerant payment clearing and settlement engine deployed on AWS serverless architecture. By replacing brittle all-or-nothing batch settlement with partial removal heuristics and novel Bounded-Cycle Gridlock Repair (BCGR), ClearPay overcomes the systemic gridlock vulnerabilities inherent in conventional RTGS and clearinghouse infrastructures. On real-world financial transaction networks from the Stanford Network Analysis Project (SNAP), ClearPay demonstrated the ability to clear over 62% of transaction value under extreme liquidity stress where legacy baselines completely failed.</w:t>
      </w:r>
    </w:p>
    <w:p>
      <w:pPr>
        <w:spacing w:after="120" w:line="276" w:lineRule="auto"/>
        <w:jc w:val="both"/>
      </w:pPr>
      <w:r>
        <w:rPr>
          <w:rFonts w:ascii="Times New Roman" w:hAnsi="Times New Roman"/>
          <w:color w:val="000000"/>
          <w:sz w:val="24"/>
        </w:rPr>
        <w:t>The serverless architecture deployed in AWS ap-south-1 proved that cloud-native distributed microservices can execute high-volume financial settlement with rigorous ACID guarantees. The combination of SHA-256 frozen plan hashing, deterministic composite ledger primary keys, and idempotent payment tokens completely eliminates double-debit hazards during cloud retries. Furthermore, automated S3-triggered event-driven reconciliation successfully detected 100% of injected discrepancies without human intervention.</w:t>
      </w:r>
    </w:p>
    <w:p>
      <w:pPr>
        <w:spacing w:after="120" w:line="276" w:lineRule="auto"/>
        <w:jc w:val="both"/>
      </w:pPr>
      <w:r>
        <w:rPr>
          <w:rFonts w:ascii="Times New Roman" w:hAnsi="Times New Roman"/>
          <w:color w:val="000000"/>
          <w:sz w:val="24"/>
        </w:rPr>
        <w:t>Future research extensions will incorporate machine learning-driven predictive models to forecast intraday bank liquidity positions before settlement windows open, multi-currency cross-border settlement with dynamic foreign exchange rates, and active-active multi-region AWS replication across Mumbai (ap-south-1) and Singapore (ap-southeast-1) for high-availability disaster recovery.</w:t>
      </w:r>
    </w:p>
    <w:p>
      <w:pPr>
        <w:keepNext/>
        <w:spacing w:before="360" w:after="120"/>
      </w:pPr>
      <w:r>
        <w:rPr>
          <w:rFonts w:ascii="Times New Roman" w:hAnsi="Times New Roman"/>
          <w:b/>
          <w:color w:val="000000"/>
          <w:sz w:val="32"/>
        </w:rPr>
        <w:t>12. References(with DOI or weblink):Min 30 references with links</w:t>
      </w:r>
    </w:p>
    <w:p>
      <w:pPr>
        <w:spacing w:after="120" w:line="276" w:lineRule="auto"/>
        <w:jc w:val="both"/>
      </w:pPr>
      <w:r>
        <w:rPr>
          <w:rFonts w:ascii="Times New Roman" w:hAnsi="Times New Roman"/>
          <w:color w:val="000000"/>
          <w:sz w:val="24"/>
        </w:rPr>
        <w:t>The following 30 references document the theoretical foundations, algorithms, cloud systems, and real-world datasets utilized in ClearPay:</w:t>
      </w:r>
    </w:p>
    <w:p>
      <w:pPr>
        <w:spacing w:after="80" w:line="276" w:lineRule="auto"/>
        <w:jc w:val="both"/>
      </w:pPr>
      <w:r>
        <w:rPr>
          <w:rFonts w:ascii="Times New Roman" w:hAnsi="Times New Roman"/>
          <w:b/>
          <w:color w:val="000000"/>
          <w:sz w:val="22"/>
        </w:rPr>
        <w:t xml:space="preserve">[1] </w:t>
      </w:r>
      <w:r>
        <w:rPr>
          <w:rFonts w:ascii="Times New Roman" w:hAnsi="Times New Roman"/>
          <w:color w:val="1E1E1E"/>
          <w:sz w:val="22"/>
        </w:rPr>
        <w:t>Amazon Web Services. AWS Lambda Developer Guide. Available: https://docs.aws.amazon.com/lambda/latest/dg/welcome.html</w:t>
      </w:r>
    </w:p>
    <w:p>
      <w:pPr>
        <w:spacing w:after="80" w:line="276" w:lineRule="auto"/>
        <w:jc w:val="both"/>
      </w:pPr>
      <w:r>
        <w:rPr>
          <w:rFonts w:ascii="Times New Roman" w:hAnsi="Times New Roman"/>
          <w:b/>
          <w:color w:val="000000"/>
          <w:sz w:val="22"/>
        </w:rPr>
        <w:t xml:space="preserve">[2] </w:t>
      </w:r>
      <w:r>
        <w:rPr>
          <w:rFonts w:ascii="Times New Roman" w:hAnsi="Times New Roman"/>
          <w:color w:val="1E1E1E"/>
          <w:sz w:val="22"/>
        </w:rPr>
        <w:t>Amazon Web Services. AWS Step Functions Developer Guide. Available: https://docs.aws.amazon.com/step-functions/latest/dg/welcome.html</w:t>
      </w:r>
    </w:p>
    <w:p>
      <w:pPr>
        <w:spacing w:after="80" w:line="276" w:lineRule="auto"/>
        <w:jc w:val="both"/>
      </w:pPr>
      <w:r>
        <w:rPr>
          <w:rFonts w:ascii="Times New Roman" w:hAnsi="Times New Roman"/>
          <w:b/>
          <w:color w:val="000000"/>
          <w:sz w:val="22"/>
        </w:rPr>
        <w:t xml:space="preserve">[3] </w:t>
      </w:r>
      <w:r>
        <w:rPr>
          <w:rFonts w:ascii="Times New Roman" w:hAnsi="Times New Roman"/>
          <w:color w:val="1E1E1E"/>
          <w:sz w:val="22"/>
        </w:rPr>
        <w:t>Amazon Web Services. Amazon DynamoDB Developer Guide. Available: https://docs.aws.amazon.com/amazondynamodb/latest/developerguide/Introduction.html</w:t>
      </w:r>
    </w:p>
    <w:p>
      <w:pPr>
        <w:spacing w:after="80" w:line="276" w:lineRule="auto"/>
        <w:jc w:val="both"/>
      </w:pPr>
      <w:r>
        <w:rPr>
          <w:rFonts w:ascii="Times New Roman" w:hAnsi="Times New Roman"/>
          <w:b/>
          <w:color w:val="000000"/>
          <w:sz w:val="22"/>
        </w:rPr>
        <w:t xml:space="preserve">[4] </w:t>
      </w:r>
      <w:r>
        <w:rPr>
          <w:rFonts w:ascii="Times New Roman" w:hAnsi="Times New Roman"/>
          <w:color w:val="1E1E1E"/>
          <w:sz w:val="22"/>
        </w:rPr>
        <w:t>Amazon Web Services. Working with transactions in Amazon DynamoDB. Available: https://docs.aws.amazon.com/amazondynamodb/latest/developerguide/transactions.html</w:t>
      </w:r>
    </w:p>
    <w:p>
      <w:pPr>
        <w:spacing w:after="80" w:line="276" w:lineRule="auto"/>
        <w:jc w:val="both"/>
      </w:pPr>
      <w:r>
        <w:rPr>
          <w:rFonts w:ascii="Times New Roman" w:hAnsi="Times New Roman"/>
          <w:b/>
          <w:color w:val="000000"/>
          <w:sz w:val="22"/>
        </w:rPr>
        <w:t xml:space="preserve">[5] </w:t>
      </w:r>
      <w:r>
        <w:rPr>
          <w:rFonts w:ascii="Times New Roman" w:hAnsi="Times New Roman"/>
          <w:color w:val="1E1E1E"/>
          <w:sz w:val="22"/>
        </w:rPr>
        <w:t>Amazon Web Services. Amazon SQS Developer Guide. Available: https://docs.aws.amazon.com/AWSSimpleQueueService/latest/SQSDeveloperGuide/welcome.html</w:t>
      </w:r>
    </w:p>
    <w:p>
      <w:pPr>
        <w:spacing w:after="80" w:line="276" w:lineRule="auto"/>
        <w:jc w:val="both"/>
      </w:pPr>
      <w:r>
        <w:rPr>
          <w:rFonts w:ascii="Times New Roman" w:hAnsi="Times New Roman"/>
          <w:b/>
          <w:color w:val="000000"/>
          <w:sz w:val="22"/>
        </w:rPr>
        <w:t xml:space="preserve">[6] </w:t>
      </w:r>
      <w:r>
        <w:rPr>
          <w:rFonts w:ascii="Times New Roman" w:hAnsi="Times New Roman"/>
          <w:color w:val="1E1E1E"/>
          <w:sz w:val="22"/>
        </w:rPr>
        <w:t>Amazon Web Services. Using dead-letter queues in Amazon SQS. Available: https://docs.aws.amazon.com/AWSSimpleQueueService/latest/SQSDeveloperGuide/sqs-dead-letter-queues.html</w:t>
      </w:r>
    </w:p>
    <w:p>
      <w:pPr>
        <w:spacing w:after="80" w:line="276" w:lineRule="auto"/>
        <w:jc w:val="both"/>
      </w:pPr>
      <w:r>
        <w:rPr>
          <w:rFonts w:ascii="Times New Roman" w:hAnsi="Times New Roman"/>
          <w:b/>
          <w:color w:val="000000"/>
          <w:sz w:val="22"/>
        </w:rPr>
        <w:t xml:space="preserve">[7] </w:t>
      </w:r>
      <w:r>
        <w:rPr>
          <w:rFonts w:ascii="Times New Roman" w:hAnsi="Times New Roman"/>
          <w:color w:val="1E1E1E"/>
          <w:sz w:val="22"/>
        </w:rPr>
        <w:t>Amazon Web Services. Amazon S3 User Guide. Available: https://docs.aws.amazon.com/AmazonS3/latest/userguide/Welcome.html</w:t>
      </w:r>
    </w:p>
    <w:p>
      <w:pPr>
        <w:spacing w:after="80" w:line="276" w:lineRule="auto"/>
        <w:jc w:val="both"/>
      </w:pPr>
      <w:r>
        <w:rPr>
          <w:rFonts w:ascii="Times New Roman" w:hAnsi="Times New Roman"/>
          <w:b/>
          <w:color w:val="000000"/>
          <w:sz w:val="22"/>
        </w:rPr>
        <w:t xml:space="preserve">[8] </w:t>
      </w:r>
      <w:r>
        <w:rPr>
          <w:rFonts w:ascii="Times New Roman" w:hAnsi="Times New Roman"/>
          <w:color w:val="1E1E1E"/>
          <w:sz w:val="22"/>
        </w:rPr>
        <w:t>Amazon Web Services. Working with HTTP APIs in Amazon API Gateway. Available: https://docs.aws.amazon.com/apigateway/latest/developerguide/http-api.html</w:t>
      </w:r>
    </w:p>
    <w:p>
      <w:pPr>
        <w:spacing w:after="80" w:line="276" w:lineRule="auto"/>
        <w:jc w:val="both"/>
      </w:pPr>
      <w:r>
        <w:rPr>
          <w:rFonts w:ascii="Times New Roman" w:hAnsi="Times New Roman"/>
          <w:b/>
          <w:color w:val="000000"/>
          <w:sz w:val="22"/>
        </w:rPr>
        <w:t xml:space="preserve">[9] </w:t>
      </w:r>
      <w:r>
        <w:rPr>
          <w:rFonts w:ascii="Times New Roman" w:hAnsi="Times New Roman"/>
          <w:color w:val="1E1E1E"/>
          <w:sz w:val="22"/>
        </w:rPr>
        <w:t>Amazon Web Services. AWS Serverless Application Model (SAM) Developer Guide. Available: https://docs.aws.amazon.com/serverless-application-model/latest/developerguide/what-is-sam.html</w:t>
      </w:r>
    </w:p>
    <w:p>
      <w:pPr>
        <w:spacing w:after="80" w:line="276" w:lineRule="auto"/>
        <w:jc w:val="both"/>
      </w:pPr>
      <w:r>
        <w:rPr>
          <w:rFonts w:ascii="Times New Roman" w:hAnsi="Times New Roman"/>
          <w:b/>
          <w:color w:val="000000"/>
          <w:sz w:val="22"/>
        </w:rPr>
        <w:t xml:space="preserve">[10] </w:t>
      </w:r>
      <w:r>
        <w:rPr>
          <w:rFonts w:ascii="Times New Roman" w:hAnsi="Times New Roman"/>
          <w:color w:val="1E1E1E"/>
          <w:sz w:val="22"/>
        </w:rPr>
        <w:t>Amazon Web Services. AWS Identity and Access Management User Guide. Available: https://docs.aws.amazon.com/IAM/latest/UserGuide/introduction.html</w:t>
      </w:r>
    </w:p>
    <w:p>
      <w:pPr>
        <w:spacing w:after="80" w:line="276" w:lineRule="auto"/>
        <w:jc w:val="both"/>
      </w:pPr>
      <w:r>
        <w:rPr>
          <w:rFonts w:ascii="Times New Roman" w:hAnsi="Times New Roman"/>
          <w:b/>
          <w:color w:val="000000"/>
          <w:sz w:val="22"/>
        </w:rPr>
        <w:t xml:space="preserve">[11] </w:t>
      </w:r>
      <w:r>
        <w:rPr>
          <w:rFonts w:ascii="Times New Roman" w:hAnsi="Times New Roman"/>
          <w:color w:val="1E1E1E"/>
          <w:sz w:val="22"/>
        </w:rPr>
        <w:t>Streamlit Inc. Streamlit Open-Source Python Library Documentation. Available: https://docs.streamlit.io</w:t>
      </w:r>
    </w:p>
    <w:p>
      <w:pPr>
        <w:spacing w:after="80" w:line="276" w:lineRule="auto"/>
        <w:jc w:val="both"/>
      </w:pPr>
      <w:r>
        <w:rPr>
          <w:rFonts w:ascii="Times New Roman" w:hAnsi="Times New Roman"/>
          <w:b/>
          <w:color w:val="000000"/>
          <w:sz w:val="22"/>
        </w:rPr>
        <w:t xml:space="preserve">[12] </w:t>
      </w:r>
      <w:r>
        <w:rPr>
          <w:rFonts w:ascii="Times New Roman" w:hAnsi="Times New Roman"/>
          <w:color w:val="1E1E1E"/>
          <w:sz w:val="22"/>
        </w:rPr>
        <w:t>Amazon Web Services. Boto3 Documentation (AWS SDK for Python v3). Available: https://boto3.amazonaws.com/v1/documentation/api/latest/index.html</w:t>
      </w:r>
    </w:p>
    <w:p>
      <w:pPr>
        <w:spacing w:after="80" w:line="276" w:lineRule="auto"/>
        <w:jc w:val="both"/>
      </w:pPr>
      <w:r>
        <w:rPr>
          <w:rFonts w:ascii="Times New Roman" w:hAnsi="Times New Roman"/>
          <w:b/>
          <w:color w:val="000000"/>
          <w:sz w:val="22"/>
        </w:rPr>
        <w:t xml:space="preserve">[13] </w:t>
      </w:r>
      <w:r>
        <w:rPr>
          <w:rFonts w:ascii="Times New Roman" w:hAnsi="Times New Roman"/>
          <w:color w:val="1E1E1E"/>
          <w:sz w:val="22"/>
        </w:rPr>
        <w:t>Leskovec, J. and Krevl, A. SNAP Datasets: Stanford Large Network Dataset Collection. Available: https://snap.stanford.edu/data</w:t>
      </w:r>
    </w:p>
    <w:p>
      <w:pPr>
        <w:spacing w:after="80" w:line="276" w:lineRule="auto"/>
        <w:jc w:val="both"/>
      </w:pPr>
      <w:r>
        <w:rPr>
          <w:rFonts w:ascii="Times New Roman" w:hAnsi="Times New Roman"/>
          <w:b/>
          <w:color w:val="000000"/>
          <w:sz w:val="22"/>
        </w:rPr>
        <w:t xml:space="preserve">[14] </w:t>
      </w:r>
      <w:r>
        <w:rPr>
          <w:rFonts w:ascii="Times New Roman" w:hAnsi="Times New Roman"/>
          <w:color w:val="1E1E1E"/>
          <w:sz w:val="22"/>
        </w:rPr>
        <w:t>Stanford Network Analysis Project (SNAP). Bitcoin OTC trust weighted signed network. Available: https://snap.stanford.edu/data/soc-sign-bitcoin-otc.html</w:t>
      </w:r>
    </w:p>
    <w:p>
      <w:pPr>
        <w:spacing w:after="80" w:line="276" w:lineRule="auto"/>
        <w:jc w:val="both"/>
      </w:pPr>
      <w:r>
        <w:rPr>
          <w:rFonts w:ascii="Times New Roman" w:hAnsi="Times New Roman"/>
          <w:b/>
          <w:color w:val="000000"/>
          <w:sz w:val="22"/>
        </w:rPr>
        <w:t xml:space="preserve">[15] </w:t>
      </w:r>
      <w:r>
        <w:rPr>
          <w:rFonts w:ascii="Times New Roman" w:hAnsi="Times New Roman"/>
          <w:color w:val="1E1E1E"/>
          <w:sz w:val="22"/>
        </w:rPr>
        <w:t>Stanford Network Analysis Project (SNAP). Bitcoin Alpha trust weighted signed network. Available: https://snap.stanford.edu/data/soc-sign-bitcoin-alpha.html</w:t>
      </w:r>
    </w:p>
    <w:p>
      <w:pPr>
        <w:spacing w:after="80" w:line="276" w:lineRule="auto"/>
        <w:jc w:val="both"/>
      </w:pPr>
      <w:r>
        <w:rPr>
          <w:rFonts w:ascii="Times New Roman" w:hAnsi="Times New Roman"/>
          <w:b/>
          <w:color w:val="000000"/>
          <w:sz w:val="22"/>
        </w:rPr>
        <w:t xml:space="preserve">[16] </w:t>
      </w:r>
      <w:r>
        <w:rPr>
          <w:rFonts w:ascii="Times New Roman" w:hAnsi="Times New Roman"/>
          <w:color w:val="1E1E1E"/>
          <w:sz w:val="22"/>
        </w:rPr>
        <w:t>Kumar, S., Spezzano, F., Subrahmanian, V.S. and Faloutsos, C. (2016). Edge weight prediction in weighted signed networks. IEEE International Conference on Data Mining (ICDM), pp. 221-230. DOI: https://doi.org/10.1109/ICDM.2016.0033</w:t>
      </w:r>
    </w:p>
    <w:p>
      <w:pPr>
        <w:spacing w:after="80" w:line="276" w:lineRule="auto"/>
        <w:jc w:val="both"/>
      </w:pPr>
      <w:r>
        <w:rPr>
          <w:rFonts w:ascii="Times New Roman" w:hAnsi="Times New Roman"/>
          <w:b/>
          <w:color w:val="000000"/>
          <w:sz w:val="22"/>
        </w:rPr>
        <w:t xml:space="preserve">[17] </w:t>
      </w:r>
      <w:r>
        <w:rPr>
          <w:rFonts w:ascii="Times New Roman" w:hAnsi="Times New Roman"/>
          <w:color w:val="1E1E1E"/>
          <w:sz w:val="22"/>
        </w:rPr>
        <w:t>Kumar, S., Hooi, B., Makhija, D., Kumar, M., Faloutsos, C. and Subrahmanian, V.S. (2018). REV2: Fraudulent user prediction in rating platforms. ACM WSDM, pp. 333-341. DOI: https://doi.org/10.1145/3159652.3159729</w:t>
      </w:r>
    </w:p>
    <w:p>
      <w:pPr>
        <w:spacing w:after="80" w:line="276" w:lineRule="auto"/>
        <w:jc w:val="both"/>
      </w:pPr>
      <w:r>
        <w:rPr>
          <w:rFonts w:ascii="Times New Roman" w:hAnsi="Times New Roman"/>
          <w:b/>
          <w:color w:val="000000"/>
          <w:sz w:val="22"/>
        </w:rPr>
        <w:t xml:space="preserve">[18] </w:t>
      </w:r>
      <w:r>
        <w:rPr>
          <w:rFonts w:ascii="Times New Roman" w:hAnsi="Times New Roman"/>
          <w:color w:val="1E1E1E"/>
          <w:sz w:val="22"/>
        </w:rPr>
        <w:t>Güntzer, M.M., Jungnickel, D. and Leclerc, M. (1998). Efficient algorithms for the clearing of interbank payments. European Journal of Operational Research, 106(1), pp. 212-219. DOI: https://doi.org/10.1016/S0377-2217(97)00304-6</w:t>
      </w:r>
    </w:p>
    <w:p>
      <w:pPr>
        <w:spacing w:after="80" w:line="276" w:lineRule="auto"/>
        <w:jc w:val="both"/>
      </w:pPr>
      <w:r>
        <w:rPr>
          <w:rFonts w:ascii="Times New Roman" w:hAnsi="Times New Roman"/>
          <w:b/>
          <w:color w:val="000000"/>
          <w:sz w:val="22"/>
        </w:rPr>
        <w:t xml:space="preserve">[19] </w:t>
      </w:r>
      <w:r>
        <w:rPr>
          <w:rFonts w:ascii="Times New Roman" w:hAnsi="Times New Roman"/>
          <w:color w:val="1E1E1E"/>
          <w:sz w:val="22"/>
        </w:rPr>
        <w:t>Martin, A. and McAndrews, J. (2008). Liquidity-saving mechanisms. Journal of Monetary Economics, 55(3), pp. 554-567. DOI: https://doi.org/10.1016/j.jmoneco.2008.01.003</w:t>
      </w:r>
    </w:p>
    <w:p>
      <w:pPr>
        <w:spacing w:after="80" w:line="276" w:lineRule="auto"/>
        <w:jc w:val="both"/>
      </w:pPr>
      <w:r>
        <w:rPr>
          <w:rFonts w:ascii="Times New Roman" w:hAnsi="Times New Roman"/>
          <w:b/>
          <w:color w:val="000000"/>
          <w:sz w:val="22"/>
        </w:rPr>
        <w:t xml:space="preserve">[20] </w:t>
      </w:r>
      <w:r>
        <w:rPr>
          <w:rFonts w:ascii="Times New Roman" w:hAnsi="Times New Roman"/>
          <w:color w:val="1E1E1E"/>
          <w:sz w:val="22"/>
        </w:rPr>
        <w:t>Galbiati, M. and Soramäki, K. (2011). An agent-based model of payment systems. Journal of Economic Dynamics and Control, 35(6), pp. 859-875. DOI: https://doi.org/10.1016/j.jedc.2010.11.001</w:t>
      </w:r>
    </w:p>
    <w:p>
      <w:pPr>
        <w:spacing w:after="80" w:line="276" w:lineRule="auto"/>
        <w:jc w:val="both"/>
      </w:pPr>
      <w:r>
        <w:rPr>
          <w:rFonts w:ascii="Times New Roman" w:hAnsi="Times New Roman"/>
          <w:b/>
          <w:color w:val="000000"/>
          <w:sz w:val="22"/>
        </w:rPr>
        <w:t xml:space="preserve">[21] </w:t>
      </w:r>
      <w:r>
        <w:rPr>
          <w:rFonts w:ascii="Times New Roman" w:hAnsi="Times New Roman"/>
          <w:color w:val="1E1E1E"/>
          <w:sz w:val="22"/>
        </w:rPr>
        <w:t>Bech, M.L. and Garratt, R. (2003). The intraday liquidity management game. Journal of Economic Theory, 109(2), pp. 198-219. DOI: https://doi.org/10.1016/S0022-0531(03)00007-2</w:t>
      </w:r>
    </w:p>
    <w:p>
      <w:pPr>
        <w:spacing w:after="80" w:line="276" w:lineRule="auto"/>
        <w:jc w:val="both"/>
      </w:pPr>
      <w:r>
        <w:rPr>
          <w:rFonts w:ascii="Times New Roman" w:hAnsi="Times New Roman"/>
          <w:b/>
          <w:color w:val="000000"/>
          <w:sz w:val="22"/>
        </w:rPr>
        <w:t xml:space="preserve">[22] </w:t>
      </w:r>
      <w:r>
        <w:rPr>
          <w:rFonts w:ascii="Times New Roman" w:hAnsi="Times New Roman"/>
          <w:color w:val="1E1E1E"/>
          <w:sz w:val="22"/>
        </w:rPr>
        <w:t>Seidman, S.B. (1983). Network structure and minimum degree. Social Networks, 5(3), pp. 269-287. DOI: https://doi.org/10.1016/0378-8733(83)90028-X</w:t>
      </w:r>
    </w:p>
    <w:p>
      <w:pPr>
        <w:spacing w:after="80" w:line="276" w:lineRule="auto"/>
        <w:jc w:val="both"/>
      </w:pPr>
      <w:r>
        <w:rPr>
          <w:rFonts w:ascii="Times New Roman" w:hAnsi="Times New Roman"/>
          <w:b/>
          <w:color w:val="000000"/>
          <w:sz w:val="22"/>
        </w:rPr>
        <w:t xml:space="preserve">[23] </w:t>
      </w:r>
      <w:r>
        <w:rPr>
          <w:rFonts w:ascii="Times New Roman" w:hAnsi="Times New Roman"/>
          <w:color w:val="1E1E1E"/>
          <w:sz w:val="22"/>
        </w:rPr>
        <w:t>Batagelj, V. and Zaversnik, M. (2003). An O(m) algorithm for cores decomposition of networks. arXiv preprint, arXiv:cs/0310049. Available: https://arxiv.org/abs/cs/0310049</w:t>
      </w:r>
    </w:p>
    <w:p>
      <w:pPr>
        <w:spacing w:after="80" w:line="276" w:lineRule="auto"/>
        <w:jc w:val="both"/>
      </w:pPr>
      <w:r>
        <w:rPr>
          <w:rFonts w:ascii="Times New Roman" w:hAnsi="Times New Roman"/>
          <w:b/>
          <w:color w:val="000000"/>
          <w:sz w:val="22"/>
        </w:rPr>
        <w:t xml:space="preserve">[24] </w:t>
      </w:r>
      <w:r>
        <w:rPr>
          <w:rFonts w:ascii="Times New Roman" w:hAnsi="Times New Roman"/>
          <w:color w:val="1E1E1E"/>
          <w:sz w:val="22"/>
        </w:rPr>
        <w:t>Johnson, D.B. (1975). Finding all the elementary circuits of a directed graph. SIAM Journal on Computing, 4(1), pp. 77-84. DOI: https://doi.org/10.1137/0204007</w:t>
      </w:r>
    </w:p>
    <w:p>
      <w:pPr>
        <w:spacing w:after="80" w:line="276" w:lineRule="auto"/>
        <w:jc w:val="both"/>
      </w:pPr>
      <w:r>
        <w:rPr>
          <w:rFonts w:ascii="Times New Roman" w:hAnsi="Times New Roman"/>
          <w:b/>
          <w:color w:val="000000"/>
          <w:sz w:val="22"/>
        </w:rPr>
        <w:t xml:space="preserve">[25] </w:t>
      </w:r>
      <w:r>
        <w:rPr>
          <w:rFonts w:ascii="Times New Roman" w:hAnsi="Times New Roman"/>
          <w:color w:val="1E1E1E"/>
          <w:sz w:val="22"/>
        </w:rPr>
        <w:t>Garcia-Molina, H. and Salem, K. (1987). Sagas. ACM SIGMOD Record, 16(3), pp. 249-259. DOI: https://doi.org/10.1145/38713.38742</w:t>
      </w:r>
    </w:p>
    <w:p>
      <w:pPr>
        <w:spacing w:after="80" w:line="276" w:lineRule="auto"/>
        <w:jc w:val="both"/>
      </w:pPr>
      <w:r>
        <w:rPr>
          <w:rFonts w:ascii="Times New Roman" w:hAnsi="Times New Roman"/>
          <w:b/>
          <w:color w:val="000000"/>
          <w:sz w:val="22"/>
        </w:rPr>
        <w:t xml:space="preserve">[26] </w:t>
      </w:r>
      <w:r>
        <w:rPr>
          <w:rFonts w:ascii="Times New Roman" w:hAnsi="Times New Roman"/>
          <w:color w:val="1E1E1E"/>
          <w:sz w:val="22"/>
        </w:rPr>
        <w:t>Jonas, E., Schleier-Smith, J., Sreekanti, V., et al. (2019). Cloud Programming Simplified: A Berkeley View on Serverless Computing. arXiv preprint, arXiv:1902.03383. Available: https://arxiv.org/abs/1902.03383</w:t>
      </w:r>
    </w:p>
    <w:p>
      <w:pPr>
        <w:spacing w:after="80" w:line="276" w:lineRule="auto"/>
        <w:jc w:val="both"/>
      </w:pPr>
      <w:r>
        <w:rPr>
          <w:rFonts w:ascii="Times New Roman" w:hAnsi="Times New Roman"/>
          <w:b/>
          <w:color w:val="000000"/>
          <w:sz w:val="22"/>
        </w:rPr>
        <w:t xml:space="preserve">[27] </w:t>
      </w:r>
      <w:r>
        <w:rPr>
          <w:rFonts w:ascii="Times New Roman" w:hAnsi="Times New Roman"/>
          <w:color w:val="1E1E1E"/>
          <w:sz w:val="22"/>
        </w:rPr>
        <w:t>Mell, P. and Grance, T. (2011). The NIST Definition of Cloud Computing. NIST Special Publication 800-145, National Institute of Standards and Technology. DOI: https://doi.org/10.6028/NIST.SP.800-145</w:t>
      </w:r>
    </w:p>
    <w:p>
      <w:pPr>
        <w:spacing w:after="80" w:line="276" w:lineRule="auto"/>
        <w:jc w:val="both"/>
      </w:pPr>
      <w:r>
        <w:rPr>
          <w:rFonts w:ascii="Times New Roman" w:hAnsi="Times New Roman"/>
          <w:b/>
          <w:color w:val="000000"/>
          <w:sz w:val="22"/>
        </w:rPr>
        <w:t xml:space="preserve">[28] </w:t>
      </w:r>
      <w:r>
        <w:rPr>
          <w:rFonts w:ascii="Times New Roman" w:hAnsi="Times New Roman"/>
          <w:color w:val="1E1E1E"/>
          <w:sz w:val="22"/>
        </w:rPr>
        <w:t>National Institute of Standards and Technology (2015). Secure Hash Standard (SHS). FIPS PUB 180-4, NIST, U.S. Department of Commerce. DOI: https://doi.org/10.6028/NIST.FIPS.180-4</w:t>
      </w:r>
    </w:p>
    <w:p>
      <w:pPr>
        <w:spacing w:after="80" w:line="276" w:lineRule="auto"/>
        <w:jc w:val="both"/>
      </w:pPr>
      <w:r>
        <w:rPr>
          <w:rFonts w:ascii="Times New Roman" w:hAnsi="Times New Roman"/>
          <w:b/>
          <w:color w:val="000000"/>
          <w:sz w:val="22"/>
        </w:rPr>
        <w:t xml:space="preserve">[29] </w:t>
      </w:r>
      <w:r>
        <w:rPr>
          <w:rFonts w:ascii="Times New Roman" w:hAnsi="Times New Roman"/>
          <w:color w:val="1E1E1E"/>
          <w:sz w:val="22"/>
        </w:rPr>
        <w:t>Bank for International Settlements and CPMI-IOSCO (2012). Principles for Financial Market Infrastructures (PFMI). CP101, Bank for International Settlements. Available: https://www.bis.org/cpmi/publ/d101a.pdf</w:t>
      </w:r>
    </w:p>
    <w:p>
      <w:pPr>
        <w:spacing w:after="80" w:line="276" w:lineRule="auto"/>
        <w:jc w:val="both"/>
      </w:pPr>
      <w:r>
        <w:rPr>
          <w:rFonts w:ascii="Times New Roman" w:hAnsi="Times New Roman"/>
          <w:b/>
          <w:color w:val="000000"/>
          <w:sz w:val="22"/>
        </w:rPr>
        <w:t xml:space="preserve">[30] </w:t>
      </w:r>
      <w:r>
        <w:rPr>
          <w:rFonts w:ascii="Times New Roman" w:hAnsi="Times New Roman"/>
          <w:color w:val="1E1E1E"/>
          <w:sz w:val="22"/>
        </w:rPr>
        <w:t>Stripe Inc. Idempotent Requests in Financial API Architecture (API Reference &amp; Engineering Standards). Available: https://stripe.com/docs/api/idempotent_requests</w:t>
      </w:r>
    </w:p>
    <w:p>
      <w:pPr>
        <w:keepNext/>
        <w:spacing w:before="360" w:after="120"/>
      </w:pPr>
      <w:r>
        <w:rPr>
          <w:rFonts w:ascii="Times New Roman" w:hAnsi="Times New Roman"/>
          <w:b/>
          <w:color w:val="000000"/>
          <w:sz w:val="32"/>
        </w:rPr>
        <w:t>13. Appendix: Research Paper (word format) link: (if any) - an added advantage</w:t>
      </w:r>
    </w:p>
    <w:p>
      <w:pPr>
        <w:spacing w:after="120" w:line="276" w:lineRule="auto"/>
        <w:jc w:val="both"/>
      </w:pPr>
      <w:r>
        <w:rPr>
          <w:rFonts w:ascii="Times New Roman" w:hAnsi="Times New Roman"/>
          <w:b/>
          <w:color w:val="000000"/>
          <w:sz w:val="24"/>
        </w:rPr>
        <w:t xml:space="preserve">13.1 Research Paper (Markdown &amp; Source Format): </w:t>
      </w:r>
      <w:r>
        <w:rPr>
          <w:rFonts w:ascii="Times New Roman" w:hAnsi="Times New Roman"/>
          <w:color w:val="000000"/>
          <w:sz w:val="24"/>
        </w:rPr>
        <w:t>Link to ClearPay Full Research Paper &amp; Documentation: https://github.com/Mrinalini10/clearpay_novel_final/blob/main/docs/RESEARCH_PAPER.md</w:t>
      </w:r>
    </w:p>
    <w:p>
      <w:pPr>
        <w:spacing w:after="120" w:line="276" w:lineRule="auto"/>
        <w:jc w:val="both"/>
      </w:pPr>
      <w:r>
        <w:rPr>
          <w:rFonts w:ascii="Times New Roman" w:hAnsi="Times New Roman"/>
          <w:b/>
          <w:color w:val="000000"/>
          <w:sz w:val="24"/>
        </w:rPr>
        <w:t xml:space="preserve">13.2 Supplementary Research Paper (Word Format): </w:t>
      </w:r>
      <w:r>
        <w:rPr>
          <w:rFonts w:ascii="Times New Roman" w:hAnsi="Times New Roman"/>
          <w:color w:val="000000"/>
          <w:sz w:val="24"/>
        </w:rPr>
        <w:t>Direct link to supplementary Word format (.docx) research document: https://github.com/Mrinalini10/clearpay_novel_final/blob/main/docs/CA-HSC_New_Work_Supplement.docx (also archived locally in project documentation folder).</w:t>
      </w:r>
    </w:p>
    <w:p>
      <w:pPr>
        <w:spacing w:after="120" w:line="276" w:lineRule="auto"/>
        <w:jc w:val="both"/>
      </w:pPr>
      <w:r>
        <w:rPr>
          <w:rFonts w:ascii="Times New Roman" w:hAnsi="Times New Roman"/>
          <w:b/>
          <w:color w:val="000000"/>
          <w:sz w:val="24"/>
        </w:rPr>
        <w:t xml:space="preserve">13.3 Automated Verification Suite Summary: </w:t>
      </w:r>
      <w:r>
        <w:rPr>
          <w:rFonts w:ascii="Times New Roman" w:hAnsi="Times New Roman"/>
          <w:color w:val="000000"/>
          <w:sz w:val="24"/>
        </w:rPr>
        <w:t>The project repository includes a 170-test automated test suite (including 66 dedicated unit and property tests for the core liquidity and novel gridlock algorithms across 'tests/test_liquidity.py', 'tests/test_novel_engine.py', 'tests/test_account_liquidity.py', etc.) covering: (1) Idempotent payment ingestion and schema validation, (2) Atomic DynamoDB debit/credit balance conservation, (3) Exact match between removal heuristic and scipy MILP ground truth on small topologies, (4) BCGR 2-bank bilateral and 3-bank triangular gridlock recovery, (5) S3 frozen plan SHA-256 hash validation, (6) Automated reconciliation detection of injected anomalies, and (7) Step Functions retry state transition safety. All 170 tests pass with 0 failures.</w:t>
      </w:r>
    </w:p>
    <w:sectPr w:rsidR="00FC693F" w:rsidRPr="0006063C" w:rsidSect="00034616">
      <w:headerReference w:type="default" r:id="rId10"/>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olor w:val="787878"/>
        <w:sz w:val="18"/>
      </w:rPr>
      <w:t>BCSE355L: Cloud Architecture Design | Direct Assessment III | ClearPay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 Id="rId41" Type="http://schemas.openxmlformats.org/officeDocument/2006/relationships/image" Target="media/image32.png"/><Relationship Id="rId42"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