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0F766E"/>
          <w:spacing w:val="60"/>
          <w:sz w:val="30"/>
          <w:szCs w:val="30"/>
        </w:rPr>
        <w:t xml:space="preserve">QUARK</w:t>
      </w:r>
    </w:p>
    <w:p>
      <w:pPr>
        <w:spacing w:after="900" w:before="200"/>
        <w:jc w:val="center"/>
      </w:pPr>
      <w:r>
        <w:rPr>
          <w:b/>
          <w:bCs/>
          <w:color w:val="0F172A"/>
          <w:spacing w:val="20"/>
          <w:sz w:val="60"/>
          <w:szCs w:val="60"/>
        </w:rPr>
        <w:t xml:space="preserve">MANUALE DI IDENTITÀ VISIVA</w:t>
      </w:r>
    </w:p>
    <w:p>
      <w:pPr>
        <w:spacing w:after="100"/>
        <w:jc w:val="center"/>
      </w:pPr>
      <w:r>
        <w:rPr>
          <w:i/>
          <w:iCs/>
          <w:color w:val="475569"/>
          <w:sz w:val="26"/>
          <w:szCs w:val="26"/>
        </w:rPr>
        <w:t xml:space="preserve">Progettazione dell'identità visiva dello Speciale Alan Turing</w:t>
      </w:r>
    </w:p>
    <w:p>
      <w:pPr>
        <w:spacing w:before="1600"/>
        <w:jc w:val="center"/>
      </w:pPr>
      <w:r>
        <w:rPr>
          <w:b/>
          <w:bCs/>
          <w:color w:val="0F766E"/>
          <w:spacing w:val="40"/>
          <w:sz w:val="34"/>
          <w:szCs w:val="34"/>
        </w:rPr>
        <w:t xml:space="preserve">VOLUME I</w:t>
      </w:r>
    </w:p>
    <w:p>
      <w:pPr>
        <w:spacing w:after="1600"/>
        <w:jc w:val="center"/>
      </w:pPr>
      <w:r>
        <w:rPr>
          <w:color w:val="0F172A"/>
          <w:sz w:val="26"/>
          <w:szCs w:val="26"/>
        </w:rPr>
        <w:t xml:space="preserve">Fondamenti</w:t>
      </w:r>
    </w:p>
    <w:p>
      <w:pPr>
        <w:spacing w:before="3000"/>
        <w:jc w:val="center"/>
      </w:pPr>
      <w:r>
        <w:rPr>
          <w:i/>
          <w:iCs/>
          <w:color w:val="475569"/>
          <w:sz w:val="18"/>
          <w:szCs w:val="18"/>
        </w:rPr>
        <w:t xml:space="preserve">Documento in corso di redazione — capitoli pubblicati in progressione</w:t>
      </w:r>
    </w:p>
    <w:p>
      <w:pPr>
        <w:jc w:val="center"/>
      </w:pPr>
      <w:r>
        <w:rPr>
          <w:color w:val="475569"/>
          <w:sz w:val="18"/>
          <w:szCs w:val="18"/>
        </w:rPr>
        <w:t xml:space="preserve">29 luglio 2026</w:t>
      </w:r>
    </w:p>
    <w:p>
      <w:pPr>
        <w:pageBreakBefore/>
        <w:spacing w:after="100" w:before="1400"/>
        <w:jc w:val="center"/>
      </w:pPr>
      <w:r>
        <w:rPr>
          <w:b/>
          <w:bCs/>
          <w:color w:val="0F172A"/>
          <w:sz w:val="34"/>
          <w:szCs w:val="34"/>
        </w:rPr>
        <w:t xml:space="preserve">QUARK — MANUALE DI IDENTITÀ VISIVA</w:t>
      </w:r>
    </w:p>
    <w:p>
      <w:pPr>
        <w:spacing w:after="600"/>
        <w:jc w:val="center"/>
      </w:pPr>
      <w:r>
        <w:rPr>
          <w:color w:val="0F766E"/>
          <w:sz w:val="26"/>
          <w:szCs w:val="26"/>
        </w:rPr>
        <w:t xml:space="preserve">Volume I — Fondamenti</w:t>
      </w:r>
    </w:p>
    <w:p>
      <w:pPr>
        <w:spacing w:after="120"/>
        <w:jc w:val="center"/>
      </w:pPr>
      <w:r>
        <w:rPr>
          <w:sz w:val="20"/>
          <w:szCs w:val="20"/>
        </w:rPr>
        <w:t xml:space="preserve">A cura del team editoriale di Quark</w:t>
      </w:r>
    </w:p>
    <w:p>
      <w:pPr>
        <w:spacing w:after="120"/>
        <w:jc w:val="center"/>
      </w:pPr>
      <w:r>
        <w:rPr>
          <w:color w:val="475569"/>
          <w:sz w:val="20"/>
          <w:szCs w:val="20"/>
        </w:rPr>
        <w:t xml:space="preserve">Prima edizione — versione di lavoro</w:t>
      </w:r>
    </w:p>
    <w:p>
      <w:pPr>
        <w:spacing w:after="80" w:before="800"/>
        <w:jc w:val="center"/>
      </w:pPr>
      <w:r>
        <w:rPr>
          <w:color w:val="475569"/>
          <w:sz w:val="18"/>
          <w:szCs w:val="18"/>
        </w:rPr>
        <w:t xml:space="preserve">Quark — Piattaforma editoriale di divulgazione scientifica</w:t>
      </w:r>
    </w:p>
    <w:p>
      <w:pPr>
        <w:jc w:val="center"/>
      </w:pPr>
      <w:r>
        <w:rPr>
          <w:i/>
          <w:iCs/>
          <w:color w:val="475569"/>
          <w:sz w:val="16"/>
          <w:szCs w:val="16"/>
        </w:rPr>
        <w:t xml:space="preserve">Questo volume è il primo di quattro: Fondamenti · Sistema Visivo · Applicazione allo Speciale · Produzione e Workflow</w:t>
      </w:r>
    </w:p>
    <w:p>
      <w:pPr>
        <w:pStyle w:val="Heading1"/>
        <w:pageBreakBefore/>
        <w:spacing w:after="300" w:before="200"/>
      </w:pPr>
      <w:r>
        <w:t xml:space="preserve">Indice</w:t>
      </w:r>
    </w:p>
    <w:sdt>
      <w:sdtPr>
        <w:alias w:val="Indice"/>
      </w:sdtPr>
      <w:sdtContent>
        <w:p>
          <w:r>
            <w:fldChar w:fldCharType="begin" w:dirty="true"/>
            <w:instrText xml:space="preserve">TOC \h \o "1-3"</w:instrText>
            <w:fldChar w:fldCharType="separate"/>
          </w:r>
        </w:p>
        <w:p>
          <w:r>
            <w:fldChar w:fldCharType="end"/>
          </w:r>
        </w:p>
      </w:sdtContent>
    </w:sdt>
    <w:p>
      <w:pPr>
        <w:spacing w:before="300"/>
      </w:pPr>
      <w:r>
        <w:rPr>
          <w:i/>
          <w:iCs/>
          <w:color w:val="475569"/>
          <w:sz w:val="18"/>
          <w:szCs w:val="18"/>
        </w:rPr>
        <w:t xml:space="preserve">L'indice è un campo di Word: fare clic destro e scegliere «Aggiorna campo» dopo l'apertura per popolarlo o aggiornarlo con i capitoli più recenti.</w:t>
      </w:r>
    </w:p>
    <w:p>
      <w:pPr>
        <w:pStyle w:val="Heading1"/>
        <w:pageBreakBefore/>
        <w:spacing w:after="240" w:before="200"/>
      </w:pPr>
      <w:r>
        <w:t xml:space="preserve">Prefazione</w:t>
      </w:r>
    </w:p>
    <w:p>
      <w:pPr>
        <w:spacing w:after="200" w:line="300"/>
        <w:jc w:val="both"/>
      </w:pPr>
      <w:r>
        <w:t xml:space="preserve">Questo manuale nasce da una constatazione semplice, e per questo facile da sottovalutare: Quark non ha ancora un volto. Ha una voce — la si riconosce nel modo in cui un articolo di Quark spiega un fenomeno complesso senza sminuirlo, nel rigore con cui distingue ciò che è accertato da ciò che è ipotesi, nella cura con cui costruisce un percorso di lettura invece di limitarsi a impaginare un testo. Ma una voce, per quanto distintiva, non basta a rendere un progetto editoriale riconoscibile a colpo d'occhio, prima ancora che se ne legga una riga. Questo è il compito dell'identità visiva, ed è il compito che questo documento si assume.</w:t>
      </w:r>
    </w:p>
    <w:p>
      <w:pPr>
        <w:spacing w:after="200" w:line="300"/>
        <w:jc w:val="both"/>
      </w:pPr>
      <w:r>
        <w:t xml:space="preserve">Lo Speciale Alan Turing non è stato scelto come banco di prova per caso. È il primo progetto editoriale di Quark ad avere l'ambizione, la complessità e l'estensione necessarie a rivelare — nel bene e nel male — se un linguaggio visivo coerente sia possibile, o se ogni pagina sia destinata a restare un artefatto a sé. Le pagine che compongono lo Speciale sono nate in momenti diversi, con intenzioni diverse, e questo si vede: alcune condividono già una grammatica visiva rigorosa, altre sono ancora isole autonome, scritte con un vocabolario proprio che nessun'altra pagina comprende. Non è un giudizio sulla qualità del lavoro già svolto, che in più punti è notevole: è la fotografia onesta di un progetto che ha costruito contenuto prima di essersi dato una lingua visiva comune. Questo manuale interviene esattamente in quel punto.</w:t>
      </w:r>
    </w:p>
    <w:p>
      <w:pPr>
        <w:spacing w:after="200" w:line="300"/>
        <w:jc w:val="both"/>
      </w:pPr>
      <w:r>
        <w:t xml:space="preserve">Chi legge questo documento per la prima volta troverà, nei prossimi quattro volumi, un percorso che va dal perché al come: prima la filosofia che giustifica ogni scelta successiva, poi il sistema di regole che quella filosofia genera, poi l'applicazione integrale di quel sistema alle cinque pagine dello Speciale Turing, infine il processo — tecnico, organizzativo, ripetibile — che permette a quel sistema di restare vivo oltre la sua prima applicazione. Non è un ordine casuale. È l'unico ordine che impedisce a un manuale di identità visiva di degenerare in un catalogo di regole senza radice: quando un grafico, un illustratore o un content designer si troveranno di fronte a una decisione che questo manuale non ha previsto — e accadrà, perché nessun manuale prevede tutto — dovranno poter risalire dal caso specifico al principio, e dal principio alla filosofia che lo ha generato. Se questo manuale riuscirà nel suo compito, quella risalita sarà sempre possibile.</w:t>
      </w:r>
    </w:p>
    <w:p>
      <w:pPr>
        <w:spacing w:after="200" w:line="300"/>
        <w:jc w:val="both"/>
      </w:pPr>
      <w:r>
        <w:t xml:space="preserve">Un'ultima premessa, che vale per l'intero documento e non solo per questo volume. Un manuale di identità visiva non è un vincolo imposto alla creatività di chi lo userà: è la condizione che rende quella creatività cumulativa invece che dispersiva. Senza un sistema condiviso, ogni nuovo collaboratore ricomincia da zero, e ogni nuova pagina rischia di somigliare a un esperimento isolato invece che a un capitolo di un'opera più grande. Con un sistema condiviso — purché sia un sistema vivo, argomentato, non un elenco arbitrario di divieti — ogni nuovo contributo può permettersi di essere ambizioso proprio perché non deve reinventare le fondamenta. È questa la promessa che il presente manuale fa a chi lo userà: meno decisioni banali da prendere ogni volta, più energia disponibile per le decisioni che contano davvero.</w:t>
      </w:r>
    </w:p>
    <w:p>
      <w:pPr>
        <w:pStyle w:val="Heading1"/>
        <w:keepNext/>
        <w:pageBreakBefore/>
        <w:spacing w:after="240" w:before="480"/>
      </w:pPr>
      <w:r>
        <w:t xml:space="preserve">Capitolo 1 — Perché esiste questo manuale</w:t>
      </w:r>
    </w:p>
    <w:p>
      <w:pPr>
        <w:pStyle w:val="Heading3"/>
        <w:keepNext/>
        <w:spacing w:after="120" w:before="260"/>
      </w:pPr>
      <w:r>
        <w:t xml:space="preserve">Il problema che non si vede finché non si accumula</w:t>
      </w:r>
    </w:p>
    <w:p>
      <w:pPr>
        <w:spacing w:after="200" w:line="300"/>
        <w:jc w:val="both"/>
      </w:pPr>
      <w:r>
        <w:t xml:space="preserve">Un progetto editoriale giovane può permettersi, per un certo tempo, di non avere un'identità visiva codificata. Ogni pagina viene giudicata singolarmente, e ogni scelta grafica risponde al buon senso di chi la fa in quel momento. Finché il numero di pagine resta contenuto, le incoerenze restano invisibili, perché nessun lettore le confronta abbastanza da vicino da notarle. È esattamente la condizione in cui si è trovato Quark fino allo Speciale Turing, ed è una condizione perfettamente ragionevole per un progetto che sta ancora scoprendo cosa vuole essere. Il problema non è aver lavorato così: è continuare a farlo dopo che il progetto ha smesso di essere piccolo.</w:t>
      </w:r>
    </w:p>
    <w:p>
      <w:pPr>
        <w:spacing w:after="200" w:line="300"/>
        <w:jc w:val="both"/>
      </w:pPr>
      <w:r>
        <w:t xml:space="preserve">Lo Speciale Turing ha attraversato questa soglia senza che nessuno lo decidesse esplicitamente. Cinque pagine, ciascuna dedicata a un capitolo diverso della vita e del pensiero di Alan Turing — la crittanalisi di Bletchley Park, la teoria della computazione, il test che porta il suo nome, l'intelligenza artificiale contemporanea, l'eredità umana e culturale — sono state scritte attraverso processi e livelli di maturità differenti, che oggi, messi a confronto, raccontano una storia involontaria: quella di un progetto che ha imparato a fare meglio pagina dopo pagina, ma senza mai fermarsi a scrivere cosa avesse imparato. Tre di quelle pagine condividono già un sistema di componenti coerente — la stessa struttura di apertura, lo stesso trattamento tipografico, la stessa logica di composizione. Le altre due sono rimaste ancorate a un linguaggio visivo autonomo, costruito su misura e mai più rivisto. Nessuna delle due condizioni è, in sé, un errore. Il problema è che oggi convivono nello stesso progetto senza che il sistema visivo riesca ancora a dichiarare con sufficiente chiarezza che appartengono allo stesso Speciale.</w:t>
      </w:r>
    </w:p>
    <w:p>
      <w:pPr>
        <w:spacing w:after="200" w:line="300"/>
        <w:jc w:val="both"/>
      </w:pPr>
      <w:r>
        <w:t xml:space="preserve">Questa è la ragione pratica per cui questo manuale esiste: rendere esplicito un sistema che nella sua parte migliore già esisteva, ma solo implicitamente, nella memoria di chi lo aveva costruito. Un sistema implicito ha un difetto strutturale, indipendentemente da quanto sia buono: non è trasmissibile. Vive finché vive chi lo ha in testa, e si degrada a ogni passaggio di consegna, a ogni nuovo collaboratore che deve indovinarlo osservando le pagine esistenti invece di poterlo leggere in una fonte autorevole. Codificarlo non è un esercizio burocratico: è l'unico modo per impedire che il lavoro migliore già fatto smetta di propagarsi.</w:t>
      </w:r>
    </w:p>
    <w:p>
      <w:pPr>
        <w:pStyle w:val="Heading3"/>
        <w:keepNext/>
        <w:spacing w:after="120" w:before="260"/>
      </w:pPr>
      <w:r>
        <w:t xml:space="preserve">Perché non basta «guardare le pagine belle e copiarle»</w:t>
      </w:r>
    </w:p>
    <w:p>
      <w:pPr>
        <w:spacing w:after="200" w:line="300"/>
        <w:jc w:val="both"/>
      </w:pPr>
      <w:r>
        <w:t xml:space="preserve">Si potrebbe obiettare che la soluzione sia più semplice di un manuale di centocinquanta pagine: bastano le pagine meglio riuscite come riferimento, e chi scrive la prossima le imita. È un'obiezione ragionevole, ed è anche il modo in cui, di fatto, l'identità visiva di molti progetti editoriali giovani si propaga per un certo tempo — per imitazione diretta, senza bisogno di un documento che la formalizzi. Ma imitare una pagina esistente insegna cosa fare in quel caso specifico, non perché quella scelta fosse corretta né quando smette di esserlo. Chi imita senza comprendere il principio sottostante riproduce fedelmente anche i limiti di ciò che imita, e si trova senza strumenti nel momento — inevitabile — in cui il caso da affrontare non è più lo stesso.</w:t>
      </w:r>
    </w:p>
    <w:p>
      <w:pPr>
        <w:spacing w:after="200" w:line="300"/>
        <w:jc w:val="both"/>
      </w:pPr>
      <w:r>
        <w:t xml:space="preserve">Anticipiamo qui, a solo scopo dimostrativo, un esempio concreto: la sua formalizzazione completa e definitiva, con la motivazione cromatica per esteso, arriverà nel Volume II, e quanto segue va letto come un'illustrazione del metodo, non ancora come la regola stessa. La scelta cromatica delle pagine più mature dello Speciale Turing alterna sezioni chiare a sezioni scure, con un accento cromatico costante — un teal profondo, vicino al verde smeraldo spento, e un ciano più acceso riservato ai richiami interattivi. Chi osservasse solo il risultato potrebbe concludere, ragionevolmente ma erroneamente, che l'alternanza chiaro/scuro sia una regola di variazione decorativa, da applicare quando la pagina «sembra monotona». Chi comprende il principio — che l'alternanza cromatica in questo sistema non decora, ma segnala un cambio di registro narrativo, dal racconto storico all'affondo tecnico, dalla spiegazione alla sintesi — sa anche riconoscere i casi in cui l'alternanza non va applicata, perché il registro non cambia, e la useremmo solo per abitudine. È la differenza fra seguire una regola e comprendere perché esiste: la prima produce coerenza superficiale e fragile, la seconda produce coerenza che sopravvive a ogni caso nuovo. Questo manuale è scritto per trasmettere la seconda.</w:t>
      </w:r>
    </w:p>
    <w:p>
      <w:pPr>
        <w:pStyle w:val="Heading3"/>
        <w:keepNext/>
        <w:spacing w:after="120" w:before="260"/>
      </w:pPr>
      <w:r>
        <w:t xml:space="preserve">Un manuale per chi non era presente all'inizio</w:t>
      </w:r>
    </w:p>
    <w:p>
      <w:pPr>
        <w:spacing w:after="200" w:line="300"/>
        <w:jc w:val="both"/>
      </w:pPr>
      <w:r>
        <w:t xml:space="preserve">C'è una seconda ragione, meno immediata della prima ma altrettanto decisiva, ed è rivolta al futuro più che al presente. Quark è un progetto che, per sua stessa missione, è destinato a crescere: lo Speciale Turing non è un unicum, è dichiaratamente il primo di una serie. Ogni Speciale futuro — dedicato a un'altra figura, a un altro tema, a un'altra epoca della scienza — avrà bisogno della stessa cosa di cui aveva bisogno Turing: una struttura narrativa propria, un'identità visiva che lo renda riconoscibile, un sistema di componenti che eviti di ricostruire da zero ciò che già funziona. Ma avrà anche, quasi certamente, collaboratori che non hanno preso parte alla costruzione dello Speciale Turing, che non hanno visto nascere le decisioni, che non conoscono gli errori già commessi e già corretti una volta.</w:t>
      </w:r>
    </w:p>
    <w:p>
      <w:pPr>
        <w:spacing w:after="200" w:line="300"/>
        <w:jc w:val="both"/>
      </w:pPr>
      <w:r>
        <w:t xml:space="preserve">Per queste persone — un illustratore che riceve l'incarico di produrre le figure per il terzo Speciale di Quark, un content designer che deve scrivere un callout coerente con uno stile che non ha mai visto formalizzato, uno sviluppatore che deve implementare un nuovo componente senza snaturare quelli esistenti — questo manuale non è un vincolo accessorio: è l'unico modo per entrare nel progetto senza dover ricostruire per tentativi ciò che chi li ha preceduti aveva già capito. Un buon manuale di identità visiva accorcia drasticamente il tempo che separa «essere nuovo su un progetto» da «produrre un lavoro che sembra esserci sempre appartenuto». È una misura di generosità verso chi verrà, più che di controllo su chi c'è ora.</w:t>
      </w:r>
    </w:p>
    <w:p>
      <w:pPr>
        <w:pStyle w:val="Heading3"/>
        <w:keepNext/>
        <w:spacing w:after="120" w:before="260"/>
      </w:pPr>
      <w:r>
        <w:t xml:space="preserve">Cosa questo manuale non è</w:t>
      </w:r>
    </w:p>
    <w:p>
      <w:pPr>
        <w:spacing w:after="200" w:line="300"/>
        <w:jc w:val="both"/>
      </w:pPr>
      <w:r>
        <w:t xml:space="preserve">Vale la pena essere altrettanto espliciti su cosa questo documento non intende essere, perché l'ambiguità qui produce più danni della mancanza di regole. Questo non è un manuale di stile tipografico ridotto a una tabella di font e dimensioni — quella tabella esisterà, nel Volume II, ma sarà la parte meno importante del volume, non la più importante. Non è un archivio di asset da riusare meccanicamente, perché un'identità visiva applicata senza comprensione degenera rapidamente in template, e un template è l'esatto opposto di un sistema editoriale vivo: il template si applica, il sistema si interpreta. E non è, soprattutto, un documento chiuso. Ogni Speciale futuro metterà alla prova principi che oggi sembrano solidi, e alcuni di quei principi si riveleranno insufficienti di fronte a un contenuto che lo Speciale Turing non ha mai dovuto affrontare. Un manuale di identità visiva che non prevede la propria evoluzione non sta proteggendo un'identità: la sta imbalsamando. Il Volume IV, dedicato al processo, tratterà esplicitamente di come questo documento stesso dovrà essere rivisto nel tempo — non come un'eccezione alla sua autorevolezza, ma come parte della sua stessa disciplina.</w:t>
      </w: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SINTESI DEL CAPITOLO</w:t>
            </w:r>
          </w:p>
          <w:p>
            <w:pPr>
              <w:spacing w:after="0"/>
              <w:jc w:val="both"/>
            </w:pPr>
            <w:r>
              <w:rPr>
                <w:i/>
                <w:iCs/>
                <w:color w:val="1E293B"/>
              </w:rPr>
              <w:t xml:space="preserve">Questo manuale esiste perché un sistema visivo coerente, per essere davvero utile, deve essere reso esplicito, argomentato e trasmissibile — non solo osservabile nelle sue applicazioni migliori. Lo Speciale Turing ha già prodotto, nelle sue pagine più mature, un linguaggio visivo che funziona; il compito di questo documento non è inventarne uno nuovo, ma portare alla luce i principi che quel linguaggio ha già dimostrato di seguire, estenderli con coerenza alle parti dello Speciale che ancora non li condividono, e metterli per iscritto in una forma che chiunque, oggi o fra cinque anni, possa leggere, comprendere e applicare senza dover indovinare. I capitoli che seguono costruiscono, uno alla volta, le fondamenta filosofiche su cui questo sistema poggia — a partire, nel prossimo capitolo, dal ruolo che la comunicazione visiva gioca specificamente nella divulgazione scientifica, e da perché quel ruolo non sia negoziabile per un progetto come Quark.</w:t>
            </w:r>
          </w:p>
        </w:tc>
      </w:tr>
    </w:tbl>
    <w:p>
      <w:pPr>
        <w:spacing w:after="100"/>
      </w:pPr>
    </w:p>
    <w:p>
      <w:pPr>
        <w:pStyle w:val="Heading1"/>
        <w:keepNext/>
        <w:pageBreakBefore/>
        <w:spacing w:after="240" w:before="480"/>
      </w:pPr>
      <w:r>
        <w:t xml:space="preserve">Capitolo 2 — Il ruolo della comunicazione visiva nella divulgazione scientifica</w:t>
      </w:r>
    </w:p>
    <w:p>
      <w:pPr>
        <w:pStyle w:val="Heading3"/>
        <w:keepNext/>
        <w:spacing w:after="120" w:before="260"/>
      </w:pPr>
      <w:r>
        <w:t xml:space="preserve">Un'affermazione che non basta a se stessa</w:t>
      </w:r>
    </w:p>
    <w:p>
      <w:pPr>
        <w:spacing w:after="200" w:line="300"/>
        <w:jc w:val="both"/>
      </w:pPr>
      <w:r>
        <w:t xml:space="preserve">Dire che «le immagini aiutano la comprensione» non è ancora un'analisi: è una premessa che chiede di essere scomposta, perché nella sua forma generica è vera così spesso da diventare inutile come criterio operativo. Un'immagine può aiutare la comprensione in almeno sei modi distinti, che raramente coincidono e che richiedono scelte progettuali diverse fra loro; e può, con la stessa facilità, non aiutarla affatto — restare un elemento gradevole ma muto rispetto al contenuto che lo circonda. Un manuale che si limitasse a raccomandare «più immagini, ben fatte» lascerebbe a chi scrive esattamente la stessa incertezza che aveva prima di leggerlo. Questo capitolo esiste per sostituire quella raccomandazione generica con una distinzione di funzioni, e le funzioni con tipologie di immagine riconoscibili — in modo che, di fronte a ciascuna pagina dello Speciale Turing, sia possibile chiedersi non «serve un'immagine qui?» ma «quale funzione manca in questo punto del testo, e quale tipo di immagine può assolverla?».</w:t>
      </w:r>
    </w:p>
    <w:p>
      <w:pPr>
        <w:spacing w:after="200" w:line="300"/>
        <w:jc w:val="both"/>
      </w:pPr>
      <w:r>
        <w:t xml:space="preserve">Vale la pena essere espliciti su un limite che questo capitolo si impone deliberatamente. Non si troverà, nelle pagine seguenti, alcun riferimento a quanto più velocemente il cervello elabori le immagini rispetto al testo, a percentuali di informazione trasmessa per via visiva, o ad altre affermazioni di taglio neuroscientifico che circolano diffusamente nella letteratura divulgativa sul design ma che, nella loro forma popolare, sono quasi sempre semplificazioni prive di una fonte verificabile alle spalle. Le ragioni per cui un'immagine funziona o non funziona, in questo manuale, sono ragioni comunicative e semiotiche — cosa un'immagine permette al lettore di fare che il testo da solo non permette — non ragioni biologiche presunte. È una scelta di rigore, non un'omissione: un manuale che aspiri a un uso professionale non può fondare le proprie regole su affermazioni che non saprebbe difendere se qualcuno gliele contestasse.</w:t>
      </w:r>
    </w:p>
    <w:p>
      <w:pPr>
        <w:pStyle w:val="Heading3"/>
        <w:keepNext/>
        <w:spacing w:after="120" w:before="260"/>
      </w:pPr>
      <w:r>
        <w:t xml:space="preserve">Le funzioni dell'immagine scientifica</w:t>
      </w:r>
    </w:p>
    <w:p>
      <w:pPr>
        <w:spacing w:after="200" w:line="300"/>
        <w:jc w:val="both"/>
      </w:pPr>
      <w:r>
        <w:t xml:space="preserve">Rappresentare. È la funzione più elementare e, per questo, la più spesso sottovalutata: mostrare che qualcosa esiste, o è esistito, nella forma in cui il testo lo descrive. Una fotografia di un rotore Enigma reale non spiega il principio crittografico — per quello serve altro — ma stabilisce un fatto che nessuna descrizione verbale, per quanto accurata, può stabilire con la stessa immediatezza: questo oggetto è esistito, ha avuto esattamente questa forma, questa fattura, questa materialità. Per una pagina come Enigma, che racconta un episodio storico verificabile e non un modello teorico, la funzione di rappresentazione è la prima da soddisfare, ed è anche la più economica: non richiede invenzione, richiede accesso a un buon documento visivo e la disciplina di selezionarlo con criterio.</w:t>
      </w:r>
    </w:p>
    <w:p>
      <w:pPr>
        <w:spacing w:after="200" w:line="300"/>
        <w:jc w:val="both"/>
      </w:pPr>
      <w:r>
        <w:t xml:space="preserve">Spiegare. Qui l'immagine smette di mostrare un oggetto e comincia a rendere leggibile una relazione fra le sue parti, o fra le fasi di un processo. Una fotografia della macchina Enigma, per quanto nitida, non spiega perché il numero di configurazioni possibili dei rotori renda il cifrario così difficile da violare; un diagramma che isola i rotori, ne mostra la rotazione e accumula visivamente le combinazioni, sì. La funzione esplicativa è quella su cui si regge l'intera pagina Computation, dove non esiste alcun oggetto fisico da fotografare — la macchina di Turing è un modello matematico del 1936, non un dispositivo costruito — e dove, di conseguenza, l'unica immagine possibile è quella che spiega una struttura logica: nastro, celle, testina, stati, transizioni.</w:t>
      </w:r>
    </w:p>
    <w:p>
      <w:pPr>
        <w:spacing w:after="200" w:line="300"/>
        <w:jc w:val="both"/>
      </w:pPr>
      <w:r>
        <w:t xml:space="preserve">Confrontare. Mettere due elementi nello stesso spazio visivo, con lo stesso trattamento grafico, permette al lettore di cogliere una differenza o un'evoluzione in un solo sguardo, invece di doverla ricostruire confrontando mentalmente due paragrafi letti in sequenza e già in parte dimenticati. È la funzione più pertinente per la pagina AI, il cui compito è mostrare una transizione di paradigma — dal sistema simbolico, fondato su regole scritte a mano, al sistema connessionista, che apprende pattern dai dati — che il testo può raccontare cronologicamente ma che un confronto visivo diretto rende immediatamente evidente come cambiamento di natura, non solo di data.</w:t>
      </w:r>
    </w:p>
    <w:p>
      <w:pPr>
        <w:spacing w:after="200" w:line="300"/>
        <w:jc w:val="both"/>
      </w:pPr>
      <w:r>
        <w:t xml:space="preserve">Orientare. Diversamente dalle tre funzioni precedenti, che riguardano un singolo concetto, questa riguarda la posizione del lettore dentro un percorso più lungo: dove si trova, quanto ne resta, come si collega ciò che sta leggendo a ciò che ha già letto. È la funzione propria delle cronologie, ed è particolarmente rilevante per due pagine dello Speciale Turing che coprono archi temporali estesi — settant'anni di storia dell'intelligenza artificiale in AI, ottant'anni di vita e di eredità in Legacy — dove il testo da solo, per quanto ben scritto, fatica a comunicare la scala del tempo attraversato con la stessa immediatezza di una linea che quel tempo lo mostra per intero, prima ancora di essere letta riga per riga.</w:t>
      </w:r>
    </w:p>
    <w:p>
      <w:pPr>
        <w:spacing w:after="200" w:line="300"/>
        <w:jc w:val="both"/>
      </w:pPr>
      <w:r>
        <w:t xml:space="preserve">Rendere visibile ciò che non si può osservare. È la funzione più delicata e più necessaria per una parte consistente dei contenuti di Quark, perché molti dei concetti centrali dello Speciale Turing non hanno alcuna forma fisica fotografabile: un algoritmo in esecuzione, la nozione di computabilità, il meccanismo dell'attenzione in un'architettura Transformer. In questi casi l'immagine non documenta né confronta oggetti reali: costruisce una metafora visiva deliberata, inventata per rendere pensabile ciò che altrimenti resterebbe solo enunciabile a parole. È anche la funzione a più alto rischio, ed è bene dirlo qui perché il capitolo successivo di questo volume vi tornerà: una metafora visiva mal scelta non si limita a non spiegare, importa connotazioni improprie. Rappresentare una rete neurale con un cervello stilizzato, per esempio, insinua visivamente un'equivalenza fra elaborazione statistica e pensiero cosciente che il testo della pagina AI si preoccupa esplicitamente di respingere: l'immagine, in un caso simile, lavorerebbe contro l'argomentazione invece che al suo fianco.</w:t>
      </w:r>
    </w:p>
    <w:p>
      <w:pPr>
        <w:spacing w:after="200" w:line="300"/>
        <w:jc w:val="both"/>
      </w:pPr>
      <w:r>
        <w:t xml:space="preserve">Costruire una sequenza narrativa. L'ultima funzione riguarda non la singola immagine ma l'ordine in cui più immagini si succedono lungo una pagina. Le otto fotografie storiche disponibili per la pagina Enigma — la macchina completa, il dettaglio dei rotori, il plugboard, la tastiera, il lampboard, il meccanismo interno — non vanno semplicemente distribuite dove c'è spazio: disposte nell'ordine in cui il testo guida il lettore dentro il funzionamento della macchina, dall'aspetto esteriore al meccanismo interno, ripercorrono visivamente la stessa progressione di comprensione che il testo costruisce a parole. In questo caso è la sequenza, non la singola immagine, a fare il lavoro divulgativo.</w:t>
      </w:r>
    </w:p>
    <w:p>
      <w:pPr>
        <w:pStyle w:val="Heading3"/>
        <w:keepNext/>
        <w:spacing w:after="120" w:before="260"/>
      </w:pPr>
      <w:r>
        <w:t xml:space="preserve">Cinque tipologie, non un'unica «immagine»</w:t>
      </w:r>
    </w:p>
    <w:p>
      <w:pPr>
        <w:spacing w:after="200" w:line="300"/>
        <w:jc w:val="both"/>
      </w:pPr>
      <w:r>
        <w:t xml:space="preserve">Parlare genericamente di «immagini» confonde oggetti che rispondono a logiche di produzione, di verità e di uso completamente diverse. Questo manuale distingue cinque tipologie, e a ciascuna corrisponde un'affinità naturale con alcune delle funzioni appena descritte — mai un vincolo assoluto, ma un punto di partenza che va motivatamente disatteso, non ignorato per abitudine.</w:t>
      </w:r>
    </w:p>
    <w:p>
      <w:pPr>
        <w:spacing w:after="200" w:line="300"/>
        <w:jc w:val="both"/>
      </w:pPr>
      <w:r>
        <w:t xml:space="preserve">L'immagine documentaria è la fotografia o la riproduzione di un oggetto, un luogo o un documento realmente esistito: le fotografie storiche di Enigma appartengono per intero a questa categoria. Il suo punto di forza è l'autenticità, non revocabile in dubbio; il suo limite è che può rappresentare, raramente spiegare un meccanismo interno che l'inquadratura non isola, e ancora più raramente rendere visibile un concetto astratto — per definizione, l'immagine documentaria richiede che esista un referente reale da fotografare, e la macchina universale di Turing, il gioco dell'imitazione, il meccanismo dell'attenzione non ne hanno uno.</w:t>
      </w:r>
    </w:p>
    <w:p>
      <w:pPr>
        <w:spacing w:after="200" w:line="300"/>
        <w:jc w:val="both"/>
      </w:pPr>
      <w:r>
        <w:t xml:space="preserve">L'illustrazione interpretativa è un disegno che reinterpreta un soggetto — reale o concettuale — con un intento comunicativo che la fotografia non permette: un taglio che isola un dettaglio da un contesto visivamente disordinato, una semplificazione formale che elimina il rumore visivo per lasciare solo l'essenziale. È utile precisamente dove l'immagine documentaria non arriva: dà forma visibile a ciò che non esiste come oggetto fotografabile, dalla macchina universale del 1936 a un concetto come la persecuzione legale subita da Turing, per cui nessuna fotografia d'epoca sarebbe comunque appropriata da mostrare. È anche, per la stessa ragione, la tipologia che richiede il controllo più severo: ogni scelta interpretativa — cosa includere, cosa omettere, quale registro visivo adottare — è una decisione editoriale a tutti gli effetti, non un'opzione neutra.</w:t>
      </w:r>
    </w:p>
    <w:p>
      <w:pPr>
        <w:spacing w:after="200" w:line="300"/>
        <w:jc w:val="both"/>
      </w:pPr>
      <w:r>
        <w:t xml:space="preserve">Il diagramma esplicativo rinuncia deliberatamente al realismo per mostrare una relazione, una struttura o un processo nella forma più chiara possibile: è lo strumento naturale della funzione «spiegare», ed è raramente adatto alla funzione «rappresentare», perché la sua stessa forza — l'astrazione — lo rende un cattivo sostituto di un documento reale quando ciò che serve è, appunto, la prova che qualcosa è realmente accaduto in quella forma. Il nastro della macchina di Turing, la struttura a tre parti del gioco dell'imitazione, la transizione fra un'architettura sequenziale e una basata sull'attenzione sono tutti candidati naturali a questa tipologia.</w:t>
      </w:r>
    </w:p>
    <w:p>
      <w:pPr>
        <w:spacing w:after="200" w:line="300"/>
        <w:jc w:val="both"/>
      </w:pPr>
      <w:r>
        <w:t xml:space="preserve">L'infografica combina in un unico artefatto testo breve, dati e immagine, ed è tipicamente la tipologia più adatta a servire insieme le funzioni «confrontare» e «orientare»: una linea del tempo con etichette, o un confronto fra due paradigmi accompagnato da poche cifre essenziali, sono infografiche nel senso qui inteso. La sua caratteristica distintiva, rispetto al diagramma puro, è l'autosufficienza: un'infografica ben costruita comunica qualcosa anche a chi la incontrasse isolata dal proprio contesto originale, per esempio se condivisa separatamente dall'articolo che la ospita — una proprietà da tenere presente, perché implica un livello di cura nella leggibilità autonoma che un diagramma interno a una sezione non richiede allo stesso grado.</w:t>
      </w:r>
    </w:p>
    <w:p>
      <w:pPr>
        <w:spacing w:after="200" w:line="300"/>
        <w:jc w:val="both"/>
      </w:pPr>
      <w:r>
        <w:t xml:space="preserve">L'immagine atmosferica, infine, non rappresenta un oggetto specifico né spiega alcun meccanismo: stabilisce un tono, un'ambientazione, un registro emotivo — è quanto avviene, per esempio, nell'immagine di apertura di una pagina, prima ancora che il lettore cominci a leggere. È una tipologia legittima, ma è anche quella più vicina al rischio di pura decorazione discusso nel prossimo capitolo, e per questo va usata con la massima parsimonia quantitativa: una pagina può permettersi un'apertura atmosferica, difficilmente può permettersene diverse senza che lo spazio sottratto alle altre quattro tipologie — quelle che effettivamente portano avanti la comprensione — diventi un costo reale.</w:t>
      </w:r>
    </w:p>
    <w:p>
      <w:pPr>
        <w:pStyle w:val="Heading3"/>
        <w:keepNext/>
        <w:spacing w:after="120" w:before="260"/>
      </w:pPr>
      <w:r>
        <w:t xml:space="preserve">Come queste categorie si applicano allo Speciale Turing</w:t>
      </w:r>
    </w:p>
    <w:p>
      <w:pPr>
        <w:spacing w:after="200" w:line="300"/>
        <w:jc w:val="both"/>
      </w:pPr>
      <w:r>
        <w:t xml:space="preserve">Le cinque pagine dello Speciale Turing non hanno lo stesso fabbisogno di tipologie, perché non hanno lo stesso tipo di contenuto, ed è un errore metodologico applicare a tutte la stessa proporzione. Enigma, che racconta un episodio storico documentato, può appoggiarsi in modo consistente sull'immagine documentaria — le otto fotografie oggi disponibili e non ancora utilizzate ne sono la prova più diretta — integrata da un solo diagramma esplicativo nel punto in cui il meccanismo dei rotori richiede una spiegazione che nessuna fotografia fornirebbe da sola. Computation, che non ha alcun referente fotografabile, dipende quasi per intero dal diagramma esplicativo, con l'eventuale illustrazione interpretativa come alternativa dove il diagramma puro risultasse troppo astratto per un lettore non specialista. Intelligence condivide questa dipendenza dal diagramma, per la stessa ragione: il gioco dell'imitazione è una struttura concettuale, non un oggetto.</w:t>
      </w:r>
    </w:p>
    <w:p>
      <w:pPr>
        <w:spacing w:after="200" w:line="300"/>
        <w:jc w:val="both"/>
      </w:pPr>
      <w:r>
        <w:t xml:space="preserve">AI è la pagina che più richiede l'uso combinato di infografica, per confrontare i paradigmi successivi, e di diagramma esplicativo, per rendere visibile ciò che non si osserva direttamente — ed è anche la pagina in cui l'illustrazione interpretativa va maneggiata con la massima cautela, per la ragione già anticipata: la tentazione di rappresentare l'intelligenza artificiale con immagini di cervelli, volti robotici o figure umanoidi è forte, diffusissima nella comunicazione generalista sul tema, e sistematicamente in tensione con il messaggio che la pagina intende costruire, cioè la distinzione fra capacità linguistica, comprensione e coscienza. Legacy, infine, si affida principalmente all'immagine documentaria e a un uso misurato dell'atmosferica per il tono complessivo, con l'infografica riservata alla cronologia che attraversa l'intera vicenda di Turing — l'unica funzione di orientamento che questa pagina richiede in modo sistematico.</w:t>
      </w: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SINTESI DEL CAPITOLO</w:t>
            </w:r>
          </w:p>
          <w:p>
            <w:pPr>
              <w:spacing w:after="0"/>
              <w:jc w:val="both"/>
            </w:pPr>
            <w:r>
              <w:rPr>
                <w:i/>
                <w:iCs/>
                <w:color w:val="1E293B"/>
              </w:rPr>
              <w:t xml:space="preserve">Un'immagine non aiuta la comprensione per una proprietà generica che le appartiene: la aiuta quando assolve una funzione precisa — rappresentare, spiegare, confrontare, orientare, rendere visibile l'invisibile, costruire una sequenza — e quella funzione trova la tipologia di immagine più adatta a servirla: documentaria, illustrazione interpretativa, diagramma esplicativo, infografica, atmosferica. Le cinque pagine dello Speciale Turing non condividono lo stesso fabbisogno: Enigma vive di documentazione storica, Computation e Intelligence di diagrammi esplicativi, AI di confronti e di una cautela particolare verso le metafore visive fuorvianti, Legacy di documentazione e di una cronologia che orienti il lettore lungo una vita intera. Il prossimo capitolo riprende da qui il tema del rischio — cosa succede quando la tipologia scelta non serve la funzione richiesta, o la serve in modo fuorviante — per poi condurre, nella parte finale del volume, alla domanda che chiude i fondamenti dello Speciale: cosa rende un'immagine scientifica memorabile senza che quella memorabilità venga pagata in accuratezza.</w:t>
            </w:r>
          </w:p>
        </w:tc>
      </w:tr>
    </w:tbl>
    <w:p>
      <w:pPr>
        <w:spacing w:after="100"/>
      </w:pPr>
    </w:p>
    <w:p>
      <w:pPr>
        <w:pStyle w:val="Heading1"/>
        <w:keepNext/>
        <w:pageBreakBefore/>
        <w:spacing w:after="240" w:before="480"/>
      </w:pPr>
      <w:r>
        <w:t xml:space="preserve">Capitolo 3 — Il rischio della decorazione: quando un'immagine smette di comunicare</w:t>
      </w:r>
    </w:p>
    <w:p>
      <w:pPr>
        <w:pStyle w:val="Heading3"/>
        <w:keepNext/>
        <w:spacing w:after="120" w:before="260"/>
      </w:pPr>
      <w:r>
        <w:t xml:space="preserve">Comunicare e decorare non sono la stessa intenzione</w:t>
      </w:r>
    </w:p>
    <w:p>
      <w:pPr>
        <w:spacing w:after="200" w:line="300"/>
        <w:jc w:val="both"/>
      </w:pPr>
      <w:r>
        <w:t xml:space="preserve">Il capitolo precedente ha distinto sei funzioni che un'immagine può assolvere e cinque tipologie che possono assolverle. Quella distinzione presuppone, senza mai dirlo esplicitamente, che ogni immagine collocata in una pagina abbia una funzione da assolvere. È un'assunzione ottimistica, e questo capitolo esiste per verificarla: non tutte le immagini che finiscono in una pagina editoriale sono lì per comunicare qualcosa. Molte sono lì per riempire uno spazio che sembrava vuoto, per rendere una sezione «più leggera», per rispettare un'abitudine visiva — un'apertura con immagine, una chiusura con immagine — senza che nessuno si sia chiesto cosa quella specifica immagine aggiunga a quello specifico testo. Questa è la decorazione, ed è bene definirla con precisione prima di poterla riconoscere: un'immagine è decorativa quando la sua rimozione non toglie nulla alla comprensione del testo che la circonda. Non quando è bella, non quando è generica, non quando è stata scelta in fretta: quando è rimovibile senza perdita informativa.</w:t>
      </w:r>
    </w:p>
    <w:p>
      <w:pPr>
        <w:spacing w:after="200" w:line="300"/>
        <w:jc w:val="both"/>
      </w:pPr>
      <w:r>
        <w:t xml:space="preserve">Questa definizione ha una conseguenza scomoda ma necessaria: la decorazione non è un difetto di esecuzione, è un difetto di intenzione. Un'illustrazione tecnicamente impeccabile, prodotta con cura, coerente con la palette dello Speciale, può essere pura decorazione se nessuno si è chiesto, prima di produrla, quale delle sei funzioni del capitolo precedente dovesse assolvere. E viceversa, un diagramma disegnato in modo grezzo può comunicare più di quanto comunichi una fotografia perfetta, se la scelta a monte — diagramma, non fotografia — era quella corretta per la funzione richiesta. Il criterio che separa comunicazione e decorazione, insomma, precede la qualità dell'esecuzione: si gioca nella domanda che questo manuale ha già posto nel capitolo precedente, «quale funzione manca in questo punto del testo», e si perde ogni volta che quella domanda non viene fatta.</w:t>
      </w:r>
    </w:p>
    <w:p>
      <w:pPr>
        <w:pStyle w:val="Heading3"/>
        <w:keepNext/>
        <w:spacing w:after="120" w:before="260"/>
      </w:pPr>
      <w:r>
        <w:t xml:space="preserve">Il rumore visivo e il suo costo</w:t>
      </w:r>
    </w:p>
    <w:p>
      <w:pPr>
        <w:spacing w:after="200" w:line="300"/>
        <w:jc w:val="both"/>
      </w:pPr>
      <w:r>
        <w:t xml:space="preserve">In teoria dell'informazione, e prima ancora in semiotica, il rumore è ciò che si aggiunge a un segnale senza portare informazione, rendendo più difficile — non impossibile, ma più difficile — distinguere ciò che conta da ciò che non conta. Il rumore visivo è la stessa nozione applicata a una pagina: ogni elemento grafico che non porta significato proprio, ma occupa comunque attenzione visiva, alza il rumore di fondo attraverso cui il lettore deve filtrare per arrivare agli elementi che invece portano significato — il testo, i diagrammi funzionali, le fotografie documentarie. Non è necessario invocare alcuna ipotesi sul funzionamento del cervello per giustificare questa nozione: basta osservare come funziona la lettura di una pagina composta, un'attività sequenziale e selettiva, in cui il lettore decide continuamente, spesso senza rendersene conto, cosa merita di essere osservato con attenzione e cosa può essere ignorato. Più alto è il rumore, più quella selezione diventa un lavoro attivo invece che un percorso naturale — ed è un lavoro che il lettore non ha chiesto di fare.</w:t>
      </w:r>
    </w:p>
    <w:p>
      <w:pPr>
        <w:spacing w:after="200" w:line="300"/>
        <w:jc w:val="both"/>
      </w:pPr>
      <w:r>
        <w:t xml:space="preserve">Vale la pena essere precisi su cosa il rumore visivo non è. Non è la ricchezza visiva in sé: una pagina densa di immagini ben scelte, ciascuna con una funzione precisa, non è rumorosa — è densa, il che è una qualità diversa e spesso desiderabile. Non è nemmeno, di per sé, la quantità di elementi decorativi: un solo elemento decorativo, ben isolato, disturba poco. Il rumore visivo cresce quando gli elementi senza funzione comunicativa si accumulano fino a competere, visivamente, con quelli che una funzione ce l'hanno — quando un'illustrazione atmosferica di apertura è seguita da un'altra a metà pagina, poi da una terza in chiusura, mentre l'unico diagramma davvero esplicativo della pagina resta piccolo, in un angolo, senza risalto proporzionato alla sua importanza informativa. In quel momento la gerarchia visiva — quale elemento il lettore dovrebbe notare per primo, quale può notare per ultimo — smette di corrispondere alla gerarchia informativa, e il lettore viene guidato nella direzione sbagliata senza che nessuno lo abbia deciso apertamente.</w:t>
      </w: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ERRORE COMUNE</w:t>
            </w:r>
          </w:p>
          <w:p>
            <w:pPr>
              <w:spacing w:after="0"/>
              <w:jc w:val="both"/>
            </w:pPr>
            <w:r>
              <w:rPr>
                <w:i/>
                <w:iCs/>
                <w:color w:val="1E293B"/>
              </w:rPr>
              <w:t xml:space="preserve">«Aggiungiamo un'immagine, così la sezione respira di più.» È l'errore più frequente, ed è insidioso proprio perché nasce da un'intuizione tipografica corretta — un blocco di solo testo, molto lungo, è effettivamente faticoso da leggere — applicata alla soluzione sbagliata. Il problema di un testo troppo denso si risolve con la struttura: sottotitoli, paragrafi più brevi, un elenco puntuale dove il contenuto lo giustifica, uno spazio bianco meglio distribuito. Un'immagine priva di funzione comunicativa non alleggerisce quella densità: la sposta più in basso nella pagina e aggiunge, sopra, un elemento che il lettore deve comunque processare senza ricavarne nulla.</w:t>
            </w:r>
          </w:p>
        </w:tc>
      </w:tr>
    </w:tbl>
    <w:p>
      <w:pPr>
        <w:spacing w:after="100"/>
      </w:pPr>
    </w:p>
    <w:p>
      <w:pPr>
        <w:pStyle w:val="Heading3"/>
        <w:keepNext/>
        <w:spacing w:after="120" w:before="260"/>
      </w:pPr>
      <w:r>
        <w:t xml:space="preserve">Quando un'immagine distrae invece di spiegare</w:t>
      </w:r>
    </w:p>
    <w:p>
      <w:pPr>
        <w:spacing w:after="200" w:line="300"/>
        <w:jc w:val="both"/>
      </w:pPr>
      <w:r>
        <w:t xml:space="preserve">C'è una forma di fallimento più grave della semplice decorazione neutra, ed è quella in cui l'immagine non si limita a non aggiungere nulla, ma sottrae — attira l'attenzione del lettore in una direzione che allontana, invece di avvicinare, dalla comprensione del testo. Succede in almeno tre modi riconoscibili. Il primo è l'immagine che genera un'aspettativa di contenuto che il testo poi non soddisfa: un'illustrazione spettacolare, dal forte impatto visivo, posta accanto a un paragrafo che tratta un dettaglio tecnico marginale, comunica implicitamente al lettore che quel paragrafo sia il punto più importante della sezione — un giudizio di rilevanza che l'impaginazione ha preso al posto del testo, spesso senza che l'autore del testo lo sapesse. Il secondo è l'immagine tecnicamente ambigua: un diagramma con un'etichetta poco chiara, o un'illustrazione interpretativa il cui livello di realismo lascia intendere che stia raffigurando qualcosa di realmente osservato quando invece è una costruzione concettuale — il caso della rete neurale raffigurata come cervello stilizzato, già discusso nel capitolo precedente, appartiene precisamente a questa categoria: non decora soltanto, insinua un'equivalenza concettuale che il testo della pagina AI lavora esplicitamente per smontare, mettendo l'immagine in conflitto diretto con l'argomentazione invece che al suo servizio.</w:t>
      </w:r>
    </w:p>
    <w:p>
      <w:pPr>
        <w:spacing w:after="200" w:line="300"/>
        <w:jc w:val="both"/>
      </w:pPr>
      <w:r>
        <w:t xml:space="preserve">Il terzo modo è più sottile e riguarda il ritmo di lettura più che il contenuto della singola immagine: un'immagine collocata nel punto sbagliato del percorso testuale — prima che il concetto a cui si riferisce sia stato introdotto, o molto dopo che il testo lo ha già superato — costringe il lettore a un movimento di andirivieni fra immagine e testo che nessuna delle due funzioni discusse nel capitolo precedente giustificherebbe. Un diagramma esplicativo collocato correttamente anticipa di poco, o accompagna esattamente, il paragrafo che spiega; collocato in ritardo, costringe il lettore a rileggere il testo dopo aver visto l'immagine per ricostruire un nesso che l'impaginazione avrebbe dovuto rendere immediato.</w:t>
      </w:r>
    </w:p>
    <w:p>
      <w:pPr>
        <w:pStyle w:val="Heading3"/>
        <w:keepNext/>
        <w:spacing w:after="120" w:before="260"/>
      </w:pPr>
      <w:r>
        <w:t xml:space="preserve">L'equilibrio fra impatto estetico e funzione comunicativa</w:t>
      </w:r>
    </w:p>
    <w:p>
      <w:pPr>
        <w:spacing w:after="200" w:line="300"/>
        <w:jc w:val="both"/>
      </w:pPr>
      <w:r>
        <w:t xml:space="preserve">Tutto quanto detto finora potrebbe far pensare che questo manuale consideri l'impatto estetico un valore sospetto, da tollerare solo quando non interferisce con la funzione. Non è così, ed è importante dirlo con altrettanta chiarezza: una pagina esteticamente povera non comunica meglio di una pagina esteticamente curata solo perché rinuncia all'ambizione visiva — comunica peggio, perché scoraggia la lettura prima ancora che cominci, e perché un lettore che non trova la pagina invitante difficilmente arriva al paragrafo in cui il rigore del contenuto potrebbe conquistarlo. L'immagine di apertura atmosferica, discussa nel capitolo precedente come la tipologia più a rischio di pura decorazione, resta legittima proprio per questa ragione: il suo compito — stabilire un tono, invitare all'ingresso nella pagina — è un compito comunicativo a pieno titolo, anche se non spiega né rappresenta nulla in senso stretto. Il problema non è mai l'impatto estetico in sé: è l'impatto estetico che si sostituisce alla funzione comunicativa invece di affiancarla, o che si moltiplica oltre la singola occasione in cui è legittimo — un'apertura atmosferica per pagina è un investimento comunicativo ragionevole; tre nella stessa pagina sono, quasi sempre, la stessa decisione presa tre volte senza una ragione che la giustifichi la seconda e la terza volta.</w:t>
      </w:r>
    </w:p>
    <w:p>
      <w:pPr>
        <w:spacing w:after="200" w:line="300"/>
        <w:jc w:val="both"/>
      </w:pPr>
      <w:r>
        <w:t xml:space="preserve">Il criterio pratico che questo manuale propone, e che verrà formalizzato in regola operativa nel Volume II, è di segno opposto a un divieto: non «meno immagini», ma «ogni immagine giustificata». Una pagina può contenere molte immagini, anche esteticamente ambiziose, se ciascuna risponde a una funzione riconoscibile — rappresentare, spiegare, confrontare, orientare, rendere visibile l'invisibile, scandire una sequenza, o stabilire un tono nei punti in cui stabilire un tono è appropriato. Una pagina con una sola immagine può essere altrettanto decorativa di una con dieci, se quell'unica immagine non risponde a nessuna di queste funzioni. Il numero non è mai, da solo, un indicatore affidabile.</w:t>
      </w: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CASO STUDIO — ENIGMA E LE OTTO FOTOGRAFIE INUTILIZZATE</w:t>
            </w:r>
          </w:p>
          <w:p>
            <w:pPr>
              <w:spacing w:after="0"/>
              <w:jc w:val="both"/>
            </w:pPr>
            <w:r>
              <w:rPr>
                <w:i/>
                <w:iCs/>
                <w:color w:val="1E293B"/>
              </w:rPr>
              <w:t xml:space="preserve">Lo Speciale Turing offre, nella pagina Enigma, un caso concreto che illustra l'intero argomento di questo capitolo capovolto: non un eccesso di decorazione, ma un'assenza di comunicazione visiva dove la funzione — rappresentare un episodio storico reale — avrebbe un materiale già pronto e non ancora usato. Otto fotografie storiche della macchina Enigma sono disponibili sul progetto e non compaiono nella pagina attuale, la cui iconografia si basa oggi su un'unica immagine di sfondo generata digitalmente. Non è un caso di decorazione da rimuovere, ma il suo speculare: una funzione comunicativa legittima — l'immagine documentaria, la più naturale per un contenuto storico verificabile — lasciata scoperta mentre il materiale per soddisfarla esiste già. Il principio è lo stesso discusso in questo capitolo, letto all'incontrario: la domanda «quale funzione manca, e quale immagine la assolverebbe» non è stata ancora posta fino in fondo per questa pagina.</w:t>
            </w:r>
          </w:p>
        </w:tc>
      </w:tr>
    </w:tbl>
    <w:p>
      <w:pPr>
        <w:spacing w:after="100"/>
      </w:pPr>
    </w:p>
    <w:p>
      <w:pPr>
        <w:pStyle w:val="Heading3"/>
        <w:keepNext/>
        <w:spacing w:after="120" w:before="260"/>
      </w:pPr>
      <w:r>
        <w:t xml:space="preserve">Precedenti nella pratica editoriale e nella teoria del progetto</w:t>
      </w:r>
    </w:p>
    <w:p>
      <w:pPr>
        <w:spacing w:after="200" w:line="300"/>
        <w:jc w:val="both"/>
      </w:pPr>
      <w:r>
        <w:t xml:space="preserve">Questo capitolo non propone un principio nuovo: riformula, per il caso specifico di Quark, una tensione che la miglior pratica editoriale e la teoria del progetto grafico hanno affrontato ripetutamente, con vocabolari diversi ma con la stessa sostanza. Edward Tufte ha costruito gran parte della propria opera attorno alla nozione di data-ink ratio — la proporzione, in un grafico o in una pagina, fra l'inchiostro che porta informazione e l'inchiostro che non ne porta — e alla condanna di quello che ha chiamato chartjunk, la decorazione che si aggiunge a una visualizzazione dati senza aumentarne la leggibilità: la stessa distinzione fra comunicazione e decorazione che apre questo capitolo, applicata a un dominio più ristretto ma affine, quello dei grafici statistici. Il sistema Isotype, sviluppato da Otto Neurath negli anni Venti e Trenta per rendere leggibili al pubblico non specialista dati sociali ed economici complessi, arriva a una conclusione compatibile per una via diversa: ogni pittogramma del sistema ha un significato codificato e ripetibile, non un ruolo ornamentale — la ricchezza visiva del sistema nasce dalla combinazione coerente di elementi funzionali, non dall'aggiunta di elementi decorativi accanto a quelli funzionali. Bruno Munari, nella sua riflessione sul design come disciplina, ha insistito a più riprese sulla distinzione fra la forma che nasce da una funzione e la forma che si aggiunge dopo per abbellire un risultato già completo — un principio che vale tanto per un oggetto industriale quanto per una pagina editoriale. E la disciplina redazionale che testate come National Geographic e, in anni più recenti, Quanta Magazine applicano alle proprie infografiche — ogni elemento visivo tracciabile a un dato o a una fonte, nessuno lasciato alla libera interpretazione grafica — è la versione professionale, verificabile quotidianamente, dello stesso principio che questo capitolo formalizza per lo Speciale Turing: la ricchezza visiva è una conseguenza della cura comunicativa, non un suo sostituto.</w:t>
      </w: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BEST PRACTICE</w:t>
            </w:r>
          </w:p>
          <w:p>
            <w:pPr>
              <w:spacing w:after="0"/>
              <w:jc w:val="both"/>
            </w:pPr>
            <w:r>
              <w:rPr>
                <w:i/>
                <w:iCs/>
                <w:color w:val="1E293B"/>
              </w:rPr>
              <w:t xml:space="preserve">Prima di inserire un'immagine, chiedersi esplicitamente — e poterlo motivare a un lettore ipotetico che chiedesse «perché è qui» — quale delle funzioni discusse nel capitolo precedente quell'immagine assolve in quel punto specifico del testo, non genericamente nella pagina. Se la risposta richiede uno sforzo di giustificazione a posteriori, l'immagine è quasi certamente decorativa, indipendentemente da quanto sia esteticamente riuscita.</w:t>
            </w:r>
          </w:p>
        </w:tc>
      </w:tr>
    </w:tbl>
    <w:p>
      <w:pPr>
        <w:spacing w:after="100"/>
      </w:pPr>
    </w:p>
    <w:p>
      <w:pPr>
        <w:pStyle w:val="Heading3"/>
        <w:keepNext/>
        <w:spacing w:after="120" w:before="260"/>
      </w:pPr>
      <w:r>
        <w:t xml:space="preserve">Verso il Volume II: dal principio alla regola</w:t>
      </w:r>
    </w:p>
    <w:p>
      <w:pPr>
        <w:spacing w:after="200" w:line="300"/>
        <w:jc w:val="both"/>
      </w:pPr>
      <w:r>
        <w:t xml:space="preserve">Questo capitolo ha lavorato a livello di principio, non ancora di regola operativa, ed è una scelta deliberata coerente con l'impostazione dichiarata nel primo capitolo di questo volume: comprendere perché la decorazione è un rischio prima di ricevere un elenco di soglie quantitative su quante immagini per sezione siano ammissibili. Quelle soglie esistono, e verranno formalizzate nel Volume II — Sistema Visivo, insieme alla motivazione cromatica solo anticipata nel primo capitolo, alla griglia tipografica, e alle specifiche tecniche per ciascuna delle cinque tipologie di immagine distinte nel capitolo precedente. Ma nessuna soglia quantitativa, per quanto ben calibrata, sostituisce la domanda che questo capitolo ha posto: senza la disciplina di porla ogni volta, un limite numerico si aggira facilmente — bastano immagini «giustificabili sulla carta» ma comunque prive di reale funzione — mentre la domanda stessa, se posta con onestà, è quasi impossibile da aggirare. Il Volume II erediterà da questo capitolo non solo il principio, ma il vincolo metodologico: ogni soglia che introdurrà dovrà essere spiegabile in termini di funzione comunicativa, mai di sola misura estetica.</w:t>
      </w: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PER APPROFONDIRE</w:t>
            </w:r>
          </w:p>
          <w:p>
            <w:pPr>
              <w:spacing w:after="0"/>
              <w:jc w:val="both"/>
            </w:pPr>
            <w:r>
              <w:rPr>
                <w:i/>
                <w:iCs/>
                <w:color w:val="1E293B"/>
              </w:rPr>
              <w:t xml:space="preserve">Edward R. Tufte, «The Visual Display of Quantitative Information» e «Envisioning Information», per la nozione di data-ink ratio e per la critica al chartjunk. Otto Neurath e Marie Neurath, sul sistema Isotype, per un caso storico di linguaggio visivo interamente funzionale. Bruno Munari, «Design e comunicazione visiva», per la distinzione fra forma funzionale e forma decorativa nella tradizione del design italiano. Rudolf Arnheim, «Visual Thinking», per un'analisi rigorosa — estetica e percettiva, non neuroscientifica — di come un'immagine organizza il significato. Richard Saul Wurman, «Information Anxiety», per la nozione di sovraccarico informativo applicata alla progettazione editoriale.</w:t>
            </w:r>
          </w:p>
        </w:tc>
      </w:tr>
    </w:tbl>
    <w:p>
      <w:pPr>
        <w:spacing w:after="100"/>
      </w:pPr>
    </w:p>
    <w:p>
      <w:pPr>
        <w:spacing w:after="100"/>
      </w:pPr>
    </w:p>
    <w:tbl>
      <w:tblPr>
        <w:tblW w:type="dxa" w:w="9350"/>
        <w:tblBorders>
          <w:top w:val="single" w:color="0F766E" w:sz="4"/>
          <w:left w:val="single" w:color="0F766E" w:sz="4"/>
          <w:bottom w:val="single" w:color="0F766E" w:sz="4"/>
          <w:right w:val="single" w:color="0F766E" w:sz="4"/>
          <w:insideH w:val="single" w:color="auto" w:sz="4"/>
          <w:insideV w:val="single" w:color="auto" w:sz="4"/>
        </w:tblBorders>
      </w:tblPr>
      <w:tblGrid>
        <w:gridCol w:w="100"/>
      </w:tblGrid>
      <w:tr>
        <w:tc>
          <w:tcPr>
            <w:tcW w:type="dxa" w:w="9350"/>
            <w:shd w:fill="EAF2F7" w:color="auto" w:val="clear"/>
            <w:tcMar>
              <w:top w:type="dxa" w:w="220"/>
              <w:left w:type="dxa" w:w="260"/>
              <w:bottom w:type="dxa" w:w="220"/>
              <w:right w:type="dxa" w:w="260"/>
            </w:tcMar>
          </w:tcPr>
          <w:p>
            <w:pPr>
              <w:spacing w:after="100"/>
            </w:pPr>
            <w:r>
              <w:rPr>
                <w:b/>
                <w:bCs/>
                <w:color w:val="0F766E"/>
                <w:sz w:val="18"/>
                <w:szCs w:val="18"/>
              </w:rPr>
              <w:t xml:space="preserve">SINTESI DEL CAPITOLO</w:t>
            </w:r>
          </w:p>
          <w:p>
            <w:pPr>
              <w:spacing w:after="0"/>
              <w:jc w:val="both"/>
            </w:pPr>
            <w:r>
              <w:rPr>
                <w:i/>
                <w:iCs/>
                <w:color w:val="1E293B"/>
              </w:rPr>
              <w:t xml:space="preserve">Un'immagine comunica quando la sua rimozione toglierebbe qualcosa alla comprensione del testo; decora quando potrebbe essere rimossa senza perdita. Il rumore visivo è ciò che si accumula quando gli elementi senza funzione competono, per attenzione, con quelli che una funzione ce l'hanno — spostando la gerarchia visiva lontano dalla gerarchia informativa che dovrebbe rispecchiare. Un'immagine può inoltre distrarre attivamente, non solo restare neutra: generando aspettative che il testo non soddisfa, insinuando equivalenze concettuali improprie, o rompendo il ritmo di lettura con una collocazione sbagliata. Nessuna di queste osservazioni condanna l'ambizione estetica: la condanna solo quando si sostituisce alla funzione comunicativa invece di affiancarla. Il criterio pratico — ogni immagine giustificata da una funzione riconoscibile, non un tetto arbitrario al numero di immagini — anticipa le soglie operative che il Volume II, Sistema Visivo, formalizzerà a partire da questo stesso principio.</w:t>
            </w:r>
          </w:p>
        </w:tc>
      </w:tr>
    </w:tbl>
    <w:p>
      <w:pPr>
        <w:spacing w:after="100"/>
      </w:pPr>
    </w:p>
    <w:p>
      <w:pPr>
        <w:pStyle w:val="Heading2"/>
        <w:pageBreakBefore/>
        <w:spacing w:after="200" w:before="200"/>
      </w:pPr>
      <w:r>
        <w:t xml:space="preserve">Stato del volume</w:t>
      </w:r>
    </w:p>
    <w:p>
      <w:r>
        <w:rPr>
          <w:i/>
          <w:iCs/>
          <w:color w:val="475569"/>
        </w:rPr>
        <w:t xml:space="preserve">Capitoli completati e approvati: 3 di 10 previsti per il Volume I. Il documento viene rigenerato e ricondiviso a ogni nuovo capitolo completato.</w:t>
      </w:r>
    </w:p>
    <w:sectPr>
      <w:headerReference w:type="default" r:id="rId7"/>
      <w:headerReference w:type="first" r:id="rId8"/>
      <w:footerReference w:type="default" r:id="rId9"/>
      <w:footerReference w:type="first" r:id="rId10"/>
      <w:pgSz w:w="12240" w:h="15840"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color w:val="47556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i/>
        <w:iCs/>
        <w:color w:val="475569"/>
        <w:sz w:val="15"/>
        <w:szCs w:val="15"/>
      </w:rPr>
      <w:t xml:space="preserve">Quark — Manuale di Identità Visiva · Volume I — Fondamenti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6" w:space="8"/>
      </w:pBdr>
      <w:spacing w:after="240" w:before="480"/>
    </w:pPr>
    <w:rPr>
      <w:rFonts w:ascii="Calibri" w:cs="Calibri" w:eastAsia="Calibri" w:hAnsi="Calibri"/>
      <w:b/>
      <w:bCs/>
      <w:color w:val="0F172A"/>
      <w:sz w:val="34"/>
      <w:szCs w:val="34"/>
    </w:rPr>
  </w:style>
  <w:style w:type="paragraph" w:styleId="Heading2">
    <w:name w:val="Heading 2"/>
    <w:basedOn w:val="Normal"/>
    <w:next w:val="Normal"/>
    <w:qFormat/>
    <w:pPr>
      <w:keepNext/>
      <w:spacing w:after="160" w:before="320"/>
    </w:pPr>
    <w:rPr>
      <w:rFonts w:ascii="Calibri" w:cs="Calibri" w:eastAsia="Calibri" w:hAnsi="Calibri"/>
      <w:b/>
      <w:bCs/>
      <w:color w:val="0F766E"/>
      <w:sz w:val="26"/>
      <w:szCs w:val="26"/>
    </w:rPr>
  </w:style>
  <w:style w:type="paragraph" w:styleId="Heading3">
    <w:name w:val="Heading 3"/>
    <w:basedOn w:val="Normal"/>
    <w:next w:val="Normal"/>
    <w:qFormat/>
    <w:pPr>
      <w:keepNext/>
      <w:spacing w:after="120" w:before="260"/>
    </w:pPr>
    <w:rPr>
      <w:rFonts w:ascii="Calibri" w:cs="Calibri" w:eastAsia="Calibri" w:hAnsi="Calibri"/>
      <w:b/>
      <w:bCs/>
      <w:i/>
      <w:iCs/>
      <w:color w:val="3341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Quark — Manuale di Identità Visiva — Volume I — Fondamenti</dc:title>
  <dc:creator>Quark — Team editoriale</dc:creator>
  <cp:lastModifiedBy>Un-named</cp:lastModifiedBy>
  <cp:revision>1</cp:revision>
  <dcterms:created xsi:type="dcterms:W3CDTF">2026-07-29T17:06:19.341Z</dcterms:created>
  <dcterms:modified xsi:type="dcterms:W3CDTF">2026-07-29T17:06:19.359Z</dcterms:modified>
</cp:coreProperties>
</file>

<file path=docProps/custom.xml><?xml version="1.0" encoding="utf-8"?>
<Properties xmlns="http://schemas.openxmlformats.org/officeDocument/2006/custom-properties" xmlns:vt="http://schemas.openxmlformats.org/officeDocument/2006/docPropsVTypes"/>
</file>