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784"/>
        <w:ind w:left="0" w:right="0"/>
      </w:pPr>
    </w:p>
    <w:p>
      <w:pPr>
        <w:autoSpaceDN w:val="0"/>
        <w:autoSpaceDE w:val="0"/>
        <w:widowControl/>
        <w:spacing w:line="168" w:lineRule="exact" w:before="268" w:after="0"/>
        <w:ind w:left="1440" w:right="1584" w:firstLine="0"/>
        <w:jc w:val="center"/>
      </w:pPr>
      <w:r>
        <w:rPr>
          <w:w w:val="101.26706291647518"/>
          <w:rFonts w:ascii="SFRM1728" w:hAnsi="SFRM1728" w:eastAsia="SFRM1728"/>
          <w:b w:val="0"/>
          <w:i w:val="0"/>
          <w:color w:val="000000"/>
          <w:sz w:val="34"/>
        </w:rPr>
        <w:t xml:space="preserve">Demografia e Pensioni </w:t>
      </w:r>
      <w:r>
        <w:br/>
      </w:r>
      <w:r>
        <w:rPr>
          <w:rFonts w:ascii="SFRM0900" w:hAnsi="SFRM0900" w:eastAsia="SFRM0900"/>
          <w:b w:val="0"/>
          <w:i w:val="0"/>
          <w:color w:val="000000"/>
          <w:sz w:val="18"/>
        </w:rPr>
        <w:t>Tesina sugli effetti demografici applicati al sistema pensionistico italiano</w:t>
      </w:r>
    </w:p>
    <w:p>
      <w:pPr>
        <w:autoSpaceDN w:val="0"/>
        <w:autoSpaceDE w:val="0"/>
        <w:widowControl/>
        <w:spacing w:line="302" w:lineRule="exact" w:before="294" w:after="0"/>
        <w:ind w:left="0" w:right="0" w:firstLine="0"/>
        <w:jc w:val="center"/>
      </w:pPr>
      <w:r>
        <w:rPr>
          <w:rFonts w:ascii="SFRM1200" w:hAnsi="SFRM1200" w:eastAsia="SFRM1200"/>
          <w:b w:val="0"/>
          <w:i w:val="0"/>
          <w:color w:val="000000"/>
          <w:sz w:val="24"/>
        </w:rPr>
        <w:t>Andrea Prestini da Esine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6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52.0" w:type="dxa"/>
      </w:tblPr>
      <w:tblGrid>
        <w:gridCol w:w="4513"/>
        <w:gridCol w:w="4513"/>
      </w:tblGrid>
      <w:tr>
        <w:trPr>
          <w:trHeight w:hRule="exact" w:val="264"/>
        </w:trPr>
        <w:tc>
          <w:tcPr>
            <w:tcW w:type="dxa" w:w="282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4" w:right="0" w:firstLine="0"/>
              <w:jc w:val="left"/>
            </w:pPr>
            <w:r>
              <w:rPr>
                <w:rFonts w:ascii="SFSL1000" w:hAnsi="SFSL1000" w:eastAsia="SFSL1000"/>
                <w:b w:val="0"/>
                <w:i/>
                <w:color w:val="000000"/>
                <w:sz w:val="20"/>
              </w:rPr>
              <w:t>INDICE</w:t>
            </w:r>
          </w:p>
        </w:tc>
        <w:tc>
          <w:tcPr>
            <w:tcW w:type="dxa" w:w="405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0" w:right="4" w:firstLine="0"/>
              <w:jc w:val="right"/>
            </w:pP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Demografia e Pensioni</w:t>
            </w:r>
          </w:p>
        </w:tc>
      </w:tr>
    </w:tbl>
    <w:p>
      <w:pPr>
        <w:autoSpaceDN w:val="0"/>
        <w:autoSpaceDE w:val="0"/>
        <w:widowControl/>
        <w:spacing w:line="354" w:lineRule="exact" w:before="430" w:after="100"/>
        <w:ind w:left="1056" w:right="0" w:firstLine="0"/>
        <w:jc w:val="left"/>
      </w:pPr>
      <w:r>
        <w:rPr>
          <w:w w:val="98.93931027116447"/>
          <w:rFonts w:ascii="SFBX1440" w:hAnsi="SFBX1440" w:eastAsia="SFBX1440"/>
          <w:b/>
          <w:i w:val="0"/>
          <w:color w:val="000000"/>
          <w:sz w:val="29"/>
        </w:rPr>
        <w:t>Indice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3009"/>
        <w:gridCol w:w="3009"/>
        <w:gridCol w:w="3009"/>
      </w:tblGrid>
      <w:tr>
        <w:trPr>
          <w:trHeight w:hRule="exact" w:val="394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0" w:after="0"/>
              <w:ind w:left="0" w:right="90" w:firstLine="0"/>
              <w:jc w:val="right"/>
            </w:pPr>
            <w:r>
              <w:rPr>
                <w:rFonts w:ascii="SFBX1000" w:hAnsi="SFBX1000" w:eastAsia="SFBX1000"/>
                <w:b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0" w:after="0"/>
              <w:ind w:left="0" w:right="0" w:firstLine="0"/>
              <w:jc w:val="center"/>
            </w:pPr>
            <w:r>
              <w:rPr>
                <w:rFonts w:ascii="SFBX1000" w:hAnsi="SFBX1000" w:eastAsia="SFBX1000"/>
                <w:b/>
                <w:i w:val="0"/>
                <w:color w:val="000000"/>
                <w:sz w:val="20"/>
              </w:rPr>
              <w:t>Il tasso di rendimento di un sistema previdenziale a ripartizione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0" w:after="0"/>
              <w:ind w:left="136" w:right="0" w:firstLine="0"/>
              <w:jc w:val="left"/>
            </w:pPr>
            <w:r>
              <w:rPr>
                <w:rFonts w:ascii="SFBX1000" w:hAnsi="SFBX1000" w:eastAsia="SFBX1000"/>
                <w:b/>
                <w:i w:val="0"/>
                <w:color w:val="000000"/>
                <w:sz w:val="20"/>
              </w:rPr>
              <w:t>1</w:t>
            </w:r>
          </w:p>
        </w:tc>
      </w:tr>
      <w:tr>
        <w:trPr>
          <w:trHeight w:hRule="exact" w:val="440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04" w:after="0"/>
              <w:ind w:left="0" w:right="90" w:firstLine="0"/>
              <w:jc w:val="right"/>
            </w:pPr>
            <w:r>
              <w:rPr>
                <w:rFonts w:ascii="SFBX1000" w:hAnsi="SFBX1000" w:eastAsia="SFBX1000"/>
                <w:b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04" w:after="0"/>
              <w:ind w:left="0" w:right="0" w:firstLine="0"/>
              <w:jc w:val="center"/>
            </w:pPr>
            <w:r>
              <w:rPr>
                <w:rFonts w:ascii="SFBX1000" w:hAnsi="SFBX1000" w:eastAsia="SFBX1000"/>
                <w:b/>
                <w:i w:val="0"/>
                <w:color w:val="000000"/>
                <w:sz w:val="20"/>
              </w:rPr>
              <w:t>Il tasso di rendimento nell’ordinamento previdenziale italiano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04" w:after="0"/>
              <w:ind w:left="136" w:right="0" w:firstLine="0"/>
              <w:jc w:val="left"/>
            </w:pPr>
            <w:r>
              <w:rPr>
                <w:rFonts w:ascii="SFBX1000" w:hAnsi="SFBX1000" w:eastAsia="SFBX1000"/>
                <w:b/>
                <w:i w:val="0"/>
                <w:color w:val="000000"/>
                <w:sz w:val="20"/>
              </w:rPr>
              <w:t>2</w:t>
            </w:r>
          </w:p>
        </w:tc>
      </w:tr>
      <w:tr>
        <w:trPr>
          <w:trHeight w:hRule="exact" w:val="412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02" w:after="0"/>
              <w:ind w:left="0" w:right="90" w:firstLine="0"/>
              <w:jc w:val="right"/>
            </w:pPr>
            <w:r>
              <w:rPr>
                <w:rFonts w:ascii="SFBX1000" w:hAnsi="SFBX1000" w:eastAsia="SFBX1000"/>
                <w:b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02" w:after="0"/>
              <w:ind w:left="94" w:right="0" w:firstLine="0"/>
              <w:jc w:val="left"/>
            </w:pPr>
            <w:r>
              <w:rPr>
                <w:rFonts w:ascii="SFBX1000" w:hAnsi="SFBX1000" w:eastAsia="SFBX1000"/>
                <w:b/>
                <w:i w:val="0"/>
                <w:color w:val="000000"/>
                <w:sz w:val="20"/>
              </w:rPr>
              <w:t>L’eccedenza di R rispetto a W: come finanziarle?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02" w:after="0"/>
              <w:ind w:left="136" w:right="0" w:firstLine="0"/>
              <w:jc w:val="left"/>
            </w:pPr>
            <w:r>
              <w:rPr>
                <w:rFonts w:ascii="SFBX1000" w:hAnsi="SFBX1000" w:eastAsia="SFBX1000"/>
                <w:b/>
                <w:i w:val="0"/>
                <w:color w:val="000000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352" w:lineRule="exact" w:before="274" w:after="100"/>
        <w:ind w:left="1056" w:right="0" w:firstLine="0"/>
        <w:jc w:val="left"/>
      </w:pPr>
      <w:r>
        <w:rPr>
          <w:w w:val="98.93931027116447"/>
          <w:rFonts w:ascii="SFBX1440" w:hAnsi="SFBX1440" w:eastAsia="SFBX1440"/>
          <w:b/>
          <w:i w:val="0"/>
          <w:color w:val="000000"/>
          <w:sz w:val="29"/>
        </w:rPr>
        <w:t>Elenco delle tabelle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2256"/>
        <w:gridCol w:w="2256"/>
        <w:gridCol w:w="2256"/>
        <w:gridCol w:w="2256"/>
      </w:tblGrid>
      <w:tr>
        <w:trPr>
          <w:trHeight w:hRule="exact" w:val="302"/>
        </w:trPr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4" w:lineRule="exact" w:before="1360" w:after="0"/>
              <w:ind w:left="0" w:right="66" w:firstLine="0"/>
              <w:jc w:val="right"/>
            </w:pPr>
            <w:r>
              <w:rPr>
                <w:w w:val="98.93931027116447"/>
                <w:rFonts w:ascii="SFBX1440" w:hAnsi="SFBX1440" w:eastAsia="SFBX1440"/>
                <w:b/>
                <w:i w:val="0"/>
                <w:color w:val="000000"/>
                <w:sz w:val="29"/>
              </w:rPr>
              <w:t>1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52" w:after="0"/>
              <w:ind w:left="0" w:right="0" w:firstLine="0"/>
              <w:jc w:val="center"/>
            </w:pP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52" w:after="0"/>
              <w:ind w:left="334" w:right="0" w:firstLine="0"/>
              <w:jc w:val="left"/>
            </w:pP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variabili popolazione lavorativa . . . . . . . . . . . . . . . . . . .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52" w:after="0"/>
              <w:ind w:left="172" w:right="0" w:firstLine="0"/>
              <w:jc w:val="left"/>
            </w:pP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4</w:t>
            </w:r>
          </w:p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0" w:right="0" w:firstLine="0"/>
              <w:jc w:val="center"/>
            </w:pP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6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334" w:right="0" w:firstLine="0"/>
              <w:jc w:val="left"/>
            </w:pP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rapporto tra appartenenti alle classi 60+ ed appartenenti alle</w:t>
            </w:r>
          </w:p>
        </w:tc>
      </w:tr>
      <w:tr>
        <w:trPr>
          <w:trHeight w:hRule="exact" w:val="520"/>
        </w:trPr>
        <w:tc>
          <w:tcPr>
            <w:tcW w:type="dxa" w:w="2256"/>
            <w:vMerge/>
            <w:tcBorders/>
          </w:tcPr>
          <w:p/>
        </w:tc>
        <w:tc>
          <w:tcPr>
            <w:tcW w:type="dxa" w:w="2256"/>
            <w:vMerge/>
            <w:tcBorders/>
          </w:tcPr>
          <w:p/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334" w:right="0" w:firstLine="0"/>
              <w:jc w:val="left"/>
            </w:pP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classi 20-59 (Italia - maschi - valori percentuali) . . . . . . . . . .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172" w:right="0" w:firstLine="0"/>
              <w:jc w:val="left"/>
            </w:pP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5</w:t>
            </w:r>
          </w:p>
        </w:tc>
      </w:tr>
      <w:tr>
        <w:trPr>
          <w:trHeight w:hRule="exact" w:val="654"/>
        </w:trPr>
        <w:tc>
          <w:tcPr>
            <w:tcW w:type="dxa" w:w="2256"/>
            <w:vMerge/>
            <w:tcBorders/>
          </w:tcPr>
          <w:p/>
        </w:tc>
        <w:tc>
          <w:tcPr>
            <w:tcW w:type="dxa" w:w="2256"/>
            <w:vMerge/>
            <w:tcBorders/>
          </w:tcPr>
          <w:p/>
        </w:tc>
        <w:tc>
          <w:tcPr>
            <w:tcW w:type="dxa" w:w="6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4" w:lineRule="exact" w:before="298" w:after="0"/>
              <w:ind w:left="50" w:right="0" w:firstLine="0"/>
              <w:jc w:val="left"/>
            </w:pPr>
            <w:r>
              <w:rPr>
                <w:w w:val="98.93931027116447"/>
                <w:rFonts w:ascii="SFBX1440" w:hAnsi="SFBX1440" w:eastAsia="SFBX1440"/>
                <w:b/>
                <w:i w:val="0"/>
                <w:color w:val="000000"/>
                <w:sz w:val="29"/>
              </w:rPr>
              <w:t>Il tasso di rendimento di un sistema previden-</w:t>
            </w:r>
          </w:p>
        </w:tc>
      </w:tr>
    </w:tbl>
    <w:p>
      <w:pPr>
        <w:autoSpaceDN w:val="0"/>
        <w:autoSpaceDE w:val="0"/>
        <w:widowControl/>
        <w:spacing w:line="354" w:lineRule="exact" w:before="2" w:after="0"/>
        <w:ind w:left="1530" w:right="0" w:firstLine="0"/>
        <w:jc w:val="left"/>
      </w:pPr>
      <w:r>
        <w:rPr>
          <w:w w:val="98.93931027116447"/>
          <w:rFonts w:ascii="SFBX1440" w:hAnsi="SFBX1440" w:eastAsia="SFBX1440"/>
          <w:b/>
          <w:i w:val="0"/>
          <w:color w:val="000000"/>
          <w:sz w:val="29"/>
        </w:rPr>
        <w:t>ziale a ripartizione</w:t>
      </w:r>
    </w:p>
    <w:p>
      <w:pPr>
        <w:autoSpaceDN w:val="0"/>
        <w:autoSpaceDE w:val="0"/>
        <w:widowControl/>
        <w:spacing w:line="238" w:lineRule="exact" w:before="172" w:after="0"/>
        <w:ind w:left="1056" w:right="1096" w:firstLine="0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Si consideri un operazione assicurativa sulla vita umana, la quale comporti il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pagamento di premi o contributi in un dato periodo e la percezione di una annua-</w:t>
      </w:r>
      <w:r>
        <w:rPr>
          <w:rFonts w:ascii="SFRM1000" w:hAnsi="SFRM1000" w:eastAsia="SFRM1000"/>
          <w:b w:val="0"/>
          <w:i w:val="0"/>
          <w:color w:val="000000"/>
          <w:sz w:val="20"/>
        </w:rPr>
        <w:t>lità vitalizia o pensione in un periodo successivo</w:t>
      </w:r>
      <w:r>
        <w:rPr>
          <w:rFonts w:ascii="SFRM0700" w:hAnsi="SFRM0700" w:eastAsia="SFRM0700"/>
          <w:b w:val="0"/>
          <w:i w:val="0"/>
          <w:color w:val="000000"/>
          <w:sz w:val="14"/>
        </w:rPr>
        <w:t>1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. Dati i valori dei premi e delle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annualità di pensione e date altresì le basi tecniche demografiche (probabilità di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sopravvivenza), è possibile determinare il</w:t>
      </w:r>
      <w:r>
        <w:rPr>
          <w:rFonts w:ascii="SFTI1000" w:hAnsi="SFTI1000" w:eastAsia="SFTI1000"/>
          <w:b w:val="0"/>
          <w:i/>
          <w:color w:val="000000"/>
          <w:sz w:val="20"/>
        </w:rPr>
        <w:t xml:space="preserve"> tasso di rendimento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, ossia il tasso che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rende uguali i valori attuali demografico-finanziari</w:t>
      </w:r>
      <w:r>
        <w:rPr>
          <w:rFonts w:ascii="SFBX1000" w:hAnsi="SFBX1000" w:eastAsia="SFBX1000"/>
          <w:b/>
          <w:i w:val="0"/>
          <w:color w:val="000000"/>
          <w:sz w:val="20"/>
        </w:rPr>
        <w:t xml:space="preserve"> (speranze matematiche)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dei premi o contributi e delle annualità o pensioni</w:t>
      </w:r>
      <w:r>
        <w:rPr>
          <w:rFonts w:ascii="SFRM0700" w:hAnsi="SFRM0700" w:eastAsia="SFRM0700"/>
          <w:b w:val="0"/>
          <w:i w:val="0"/>
          <w:color w:val="000000"/>
          <w:sz w:val="14"/>
        </w:rPr>
        <w:t>2</w:t>
      </w:r>
      <w:r>
        <w:rPr>
          <w:rFonts w:ascii="SFRM1000" w:hAnsi="SFRM1000" w:eastAsia="SFRM100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12" w:after="0"/>
        <w:ind w:left="1056" w:right="1096" w:firstLine="298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Analogo calcolo può essere effettuato se, oltre che una pensione di vecchiaia,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sono previste una pensione di invalidità ed una pensione ai superstiti di assicura-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to e di pensionato diretto. In tal caso, ovviamente, devono anche assumersi tra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le basi tecniche le probabilità (alle diverse età) di divenire invalido e di lasciare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superstiti, e le probabilità di sopravvivenza di questi ultimi.</w:t>
      </w:r>
    </w:p>
    <w:p>
      <w:pPr>
        <w:autoSpaceDN w:val="0"/>
        <w:autoSpaceDE w:val="0"/>
        <w:widowControl/>
        <w:spacing w:line="240" w:lineRule="exact" w:before="10" w:after="0"/>
        <w:ind w:left="1056" w:right="1096" w:firstLine="298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Il concetto ed il calcolo del tasso interno di rendimento così definito sono del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tutto indipendenti dal fatto che il regime assicurativo o previdenziale in esame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sia privato (nel qual caso deve naturalmente fondarsi sull’accumulazione di ido-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nee riserve) o pubblico, e nel secondo caso che esso sia gestito a capitalizzazione,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ossia con accumulazione di riserve, oppure a ripartizione, ossia con immediata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utilizzazione dei contributi versati dagli attivi per il pagamento delle pensioni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già in corso di godimento. Anche nel caso della ripartizione, infatti, è possibile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impostare, per un assicurato singolo o per un gruppo di assicurati, l’equazione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che determina il tasso di rendimento interno.</w:t>
      </w:r>
    </w:p>
    <w:p>
      <w:pPr>
        <w:autoSpaceDN w:val="0"/>
        <w:autoSpaceDE w:val="0"/>
        <w:widowControl/>
        <w:spacing w:line="240" w:lineRule="exact" w:before="10" w:after="0"/>
        <w:ind w:left="1056" w:right="1008" w:firstLine="298"/>
        <w:jc w:val="left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Nel seguito del presente lavoro, si adotterà appunto questa prospettiva: si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considererà cioè la previdenza sociale come strettamente analoga ad un contratto</w:t>
      </w:r>
    </w:p>
    <w:p>
      <w:pPr>
        <w:autoSpaceDN w:val="0"/>
        <w:tabs>
          <w:tab w:pos="1278" w:val="left"/>
        </w:tabs>
        <w:autoSpaceDE w:val="0"/>
        <w:widowControl/>
        <w:spacing w:line="190" w:lineRule="exact" w:before="148" w:after="0"/>
        <w:ind w:left="1056" w:right="1008" w:firstLine="0"/>
        <w:jc w:val="left"/>
      </w:pPr>
      <w:r>
        <w:tab/>
      </w:r>
      <w:r>
        <w:rPr>
          <w:rFonts w:ascii="SFRM0600" w:hAnsi="SFRM0600" w:eastAsia="SFRM0600"/>
          <w:b w:val="0"/>
          <w:i w:val="0"/>
          <w:color w:val="000000"/>
          <w:sz w:val="12"/>
        </w:rPr>
        <w:t>1</w:t>
      </w:r>
      <w:r>
        <w:rPr>
          <w:rFonts w:ascii="SFRM0800" w:hAnsi="SFRM0800" w:eastAsia="SFRM0800"/>
          <w:b w:val="0"/>
          <w:i w:val="0"/>
          <w:color w:val="000000"/>
          <w:sz w:val="16"/>
        </w:rPr>
        <w:t xml:space="preserve">è anche configurabile un’operazione in cui il premio e/o la prestazione assicurativa siano </w:t>
      </w:r>
      <w:r>
        <w:rPr>
          <w:rFonts w:ascii="SFRM0800" w:hAnsi="SFRM0800" w:eastAsia="SFRM0800"/>
          <w:b w:val="0"/>
          <w:i w:val="0"/>
          <w:color w:val="000000"/>
          <w:sz w:val="16"/>
        </w:rPr>
        <w:t xml:space="preserve">corrisposti in unica soluzione, ma il caso non interessa questa sede </w:t>
      </w:r>
      <w:r>
        <w:br/>
      </w:r>
      <w:r>
        <w:tab/>
      </w:r>
      <w:r>
        <w:rPr>
          <w:rFonts w:ascii="SFRM0600" w:hAnsi="SFRM0600" w:eastAsia="SFRM0600"/>
          <w:b w:val="0"/>
          <w:i w:val="0"/>
          <w:color w:val="000000"/>
          <w:sz w:val="12"/>
        </w:rPr>
        <w:t>2</w:t>
      </w:r>
      <w:r>
        <w:rPr>
          <w:rFonts w:ascii="SFRM0800" w:hAnsi="SFRM0800" w:eastAsia="SFRM0800"/>
          <w:b w:val="0"/>
          <w:i w:val="0"/>
          <w:color w:val="000000"/>
          <w:sz w:val="16"/>
        </w:rPr>
        <w:t>l’equazione che traduce questa equivalenza può ovviamente essere risolta per un’altra in-</w:t>
      </w:r>
      <w:r>
        <w:rPr>
          <w:rFonts w:ascii="SFRM0800" w:hAnsi="SFRM0800" w:eastAsia="SFRM0800"/>
          <w:b w:val="0"/>
          <w:i w:val="0"/>
          <w:color w:val="000000"/>
          <w:sz w:val="16"/>
        </w:rPr>
        <w:t xml:space="preserve">cognita: per esempio, dati i premi, le basi demografiche ed il tasso di rendimenti, si può </w:t>
      </w:r>
      <w:r>
        <w:rPr>
          <w:rFonts w:ascii="SFRM0800" w:hAnsi="SFRM0800" w:eastAsia="SFRM0800"/>
          <w:b w:val="0"/>
          <w:i w:val="0"/>
          <w:color w:val="000000"/>
          <w:sz w:val="16"/>
        </w:rPr>
        <w:t>determinare il valore della corrispondente annualità, o reciprocamente, date le basi demogra-</w:t>
      </w:r>
      <w:r>
        <w:rPr>
          <w:rFonts w:ascii="SFRM0800" w:hAnsi="SFRM0800" w:eastAsia="SFRM0800"/>
          <w:b w:val="0"/>
          <w:i w:val="0"/>
          <w:color w:val="000000"/>
          <w:sz w:val="16"/>
        </w:rPr>
        <w:t xml:space="preserve">fiche ed il tasso, si possono determinare i premi necessari per acquisire il diritto ad una data </w:t>
      </w:r>
      <w:r>
        <w:rPr>
          <w:rFonts w:ascii="SFRM0800" w:hAnsi="SFRM0800" w:eastAsia="SFRM0800"/>
          <w:b w:val="0"/>
          <w:i w:val="0"/>
          <w:color w:val="000000"/>
          <w:sz w:val="16"/>
        </w:rPr>
        <w:t>annualità</w:t>
      </w:r>
    </w:p>
    <w:p>
      <w:pPr>
        <w:autoSpaceDN w:val="0"/>
        <w:tabs>
          <w:tab w:pos="7188" w:val="left"/>
        </w:tabs>
        <w:autoSpaceDE w:val="0"/>
        <w:widowControl/>
        <w:spacing w:line="250" w:lineRule="exact" w:before="626" w:after="0"/>
        <w:ind w:left="1056" w:right="0" w:firstLine="0"/>
        <w:jc w:val="left"/>
      </w:pPr>
      <w:r>
        <w:rPr>
          <w:rFonts w:ascii="SFRM0500" w:hAnsi="SFRM0500" w:eastAsia="SFRM0500"/>
          <w:b w:val="0"/>
          <w:i w:val="0"/>
          <w:color w:val="000000"/>
          <w:sz w:val="10"/>
        </w:rPr>
        <w:t xml:space="preserve">Andrea Prestini </w:t>
      </w:r>
      <w:r>
        <w:tab/>
      </w:r>
      <w:r>
        <w:rPr>
          <w:rFonts w:ascii="SFRM1000" w:hAnsi="SFRM1000" w:eastAsia="SFRM1000"/>
          <w:b w:val="0"/>
          <w:i w:val="0"/>
          <w:color w:val="000000"/>
          <w:sz w:val="20"/>
        </w:rPr>
        <w:t>pagina 1</w:t>
      </w:r>
    </w:p>
    <w:sectPr w:rsidR="00FC693F" w:rsidRPr="0006063C" w:rsidSect="00034616">
      <w:pgSz w:w="11906" w:h="16838"/>
      <w:pgMar w:top="990" w:right="1440" w:bottom="762" w:left="1440" w:header="720" w:footer="720" w:gutter="0"/>
      <w:cols w:space="720" w:num="1" w:equalWidth="0">
        <w:col w:w="9026" w:space="0"/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