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Sintesi programmatica per l’Italia</w:t>
      </w:r>
    </w:p>
    <w:p>
      <w:pPr>
        <w:pStyle w:val="Subtitle"/>
      </w:pPr>
      <w:r>
        <w:t>Documento di presentazione</w:t>
      </w:r>
    </w:p>
    <w:p>
      <w:pPr>
        <w:pStyle w:val="SmallNote"/>
        <w:jc w:val="center"/>
      </w:pPr>
      <w:r>
        <w:t>Quadro politico sintetico • Aprile 2026</w:t>
      </w:r>
    </w:p>
    <w:p>
      <w:pPr>
        <w:pStyle w:val="PresQuote"/>
        <w:jc w:val="center"/>
      </w:pPr>
      <w:r>
        <w:t>Una Repubblica del lavoro, della capacità e della responsabilità pubblica: uno Stato che funzioni, servizi essenziali affidabili, crescita produttiva, mobilità sociale e una prospettiva concreta di futuro in Italia.</w:t>
      </w:r>
    </w:p>
    <w:p>
      <w:r>
        <w:br w:type="page"/>
      </w:r>
    </w:p>
    <w:p>
      <w:pPr>
        <w:pStyle w:val="Heading1"/>
      </w:pPr>
      <w:r>
        <w:t>1. Perché nasce questo progetto</w:t>
      </w:r>
    </w:p>
    <w:p>
      <w:pPr>
        <w:pStyle w:val="PresQuote"/>
      </w:pPr>
      <w:r>
        <w:t>L’Italia non è un Paese senza risorse: è un Paese che protegge troppo ciò che esiste già e produce troppo poche opportunità per chi vuole salire.</w:t>
      </w:r>
    </w:p>
    <w:p>
      <w:pPr>
        <w:pStyle w:val="PresBullet"/>
      </w:pPr>
      <w:r>
        <w:t>•  Il problema centrale non è il collasso, ma la stagnazione: il sistema regge, ma non trasforma abbastanza.</w:t>
      </w:r>
    </w:p>
    <w:p>
      <w:pPr>
        <w:pStyle w:val="PresBullet"/>
      </w:pPr>
      <w:r>
        <w:t>•  Troppo peso su lavoro, giovani, famiglie e territori che rispettano le regole; troppa protezione implicita per rendite, lentezze e posizioni consolidate.</w:t>
      </w:r>
    </w:p>
    <w:p>
      <w:pPr>
        <w:pStyle w:val="PresBullet"/>
      </w:pPr>
      <w:r>
        <w:t>•  Il progetto nasce per spostare il baricentro della Repubblica dalle rendite alle capacità.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Non un partito che urla di più. Un partito che decide meglio, sceglie le priorità e misura i risultati.</w:t>
      </w:r>
    </w:p>
    <w:p>
      <w:r>
        <w:br w:type="page"/>
      </w:r>
    </w:p>
    <w:p>
      <w:pPr>
        <w:pStyle w:val="Heading1"/>
      </w:pPr>
      <w:r>
        <w:t>2. Chi vuole rappresentare</w:t>
      </w:r>
    </w:p>
    <w:p>
      <w:pPr>
        <w:pStyle w:val="PresQuote"/>
      </w:pPr>
      <w:r>
        <w:t>La coalizione di riferimento è l’Italia che regge il sistema ma non lo governa.</w:t>
      </w:r>
    </w:p>
    <w:p>
      <w:pPr>
        <w:pStyle w:val="PresBullet"/>
      </w:pPr>
      <w:r>
        <w:t>•  Ceto medio da lavoro: dipendenti, tecnici, professionisti, autonomi ordinari, quadri e lavoratori dei servizi.</w:t>
      </w:r>
    </w:p>
    <w:p>
      <w:pPr>
        <w:pStyle w:val="PresBullet"/>
      </w:pPr>
      <w:r>
        <w:t>•  Giovani e adulti in salita: studenti seri, profili qualificati, famiglie in formazione, persone che vogliono autonomia e non dipendenza.</w:t>
      </w:r>
    </w:p>
    <w:p>
      <w:pPr>
        <w:pStyle w:val="PresBullet"/>
      </w:pPr>
      <w:r>
        <w:t>•  Impresa produttiva non renditiera: PMI, export, filiere industriali, amministratori locali seri, territori dinamici e territori fragili non rassegnati.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Il collante non è identitario. È materiale: lavoro, legalità, servizi, mobilità sociale, Stato che risponde.</w:t>
      </w:r>
    </w:p>
    <w:p>
      <w:r>
        <w:br w:type="page"/>
      </w:r>
    </w:p>
    <w:p>
      <w:pPr>
        <w:pStyle w:val="Heading1"/>
      </w:pPr>
      <w:r>
        <w:t>3. Le 6 promesse del manifesto</w:t>
      </w:r>
    </w:p>
    <w:p>
      <w:pPr>
        <w:pStyle w:val="PresQuote"/>
      </w:pPr>
      <w:r>
        <w:t>Il programma è costruito su pochi assi leggibili, non su un catalogo di promesse.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5F5"/>
          </w:tcPr>
          <w:p>
            <w:r>
              <w:rPr>
                <w:b/>
                <w:color w:val="1C3A5F"/>
                <w:sz w:val="19"/>
              </w:rPr>
              <w:t>Promessa</w:t>
            </w:r>
          </w:p>
        </w:tc>
        <w:tc>
          <w:tcPr>
            <w:tcW w:type="dxa" w:w="4986"/>
            <w:shd w:fill="D9E5F5"/>
          </w:tcPr>
          <w:p>
            <w:r>
              <w:rPr>
                <w:b/>
                <w:color w:val="1C3A5F"/>
                <w:sz w:val="19"/>
              </w:rPr>
              <w:t>Obiettivo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Più lavoro utile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Più partecipazione, più netto, più produttività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Più Stato che funziona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Tempi certi, attuazione, responsabilità nominabili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Più servizi essenziali affidabili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Sanità, scuola, welfare e accesso alla casa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Più capacità produttiva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Impresa, industria, energia, infrastrutture, innovazione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Più coesione territoriale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Servizi e opportunità differenziati per territori diversi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Più peso negoziale in Europa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Interesse nazionale dentro un europeismo serio e negoziale</w:t>
            </w:r>
          </w:p>
        </w:tc>
      </w:tr>
    </w:tbl>
    <w:p>
      <w:r>
        <w:br w:type="page"/>
      </w:r>
    </w:p>
    <w:p>
      <w:pPr>
        <w:pStyle w:val="Heading1"/>
      </w:pPr>
      <w:r>
        <w:t>4. Economia reale: lavoro, fisco, impresa</w:t>
      </w:r>
    </w:p>
    <w:p>
      <w:pPr>
        <w:pStyle w:val="PresQuote"/>
      </w:pPr>
      <w:r>
        <w:t>La crescita non nasce dai bonus. Nasce dall’incrocio di lavoro, produttività, capitale umano, energia e credibilità fiscale.</w:t>
      </w:r>
    </w:p>
    <w:p>
      <w:pPr>
        <w:pStyle w:val="PresBullet"/>
      </w:pPr>
      <w:r>
        <w:t>•  Ridurre il peso sul lavoro regolare e aumentare il netto in busta dove l’effetto sociale ed economico è più forte.</w:t>
      </w:r>
    </w:p>
    <w:p>
      <w:pPr>
        <w:pStyle w:val="PresBullet"/>
      </w:pPr>
      <w:r>
        <w:t>•  Riallocare la spesa verso investimenti, servizi essenziali e misure pro-crescita invece che dispersione e micro-incentivi frammentati.</w:t>
      </w:r>
    </w:p>
    <w:p>
      <w:pPr>
        <w:pStyle w:val="PresBullet"/>
      </w:pPr>
      <w:r>
        <w:t>•  Trattare impresa, industria, energia e infrastrutture come un unico blocco di capacità produttiva nazionale.</w:t>
      </w:r>
    </w:p>
    <w:p>
      <w:pPr>
        <w:pStyle w:val="PresBullet"/>
      </w:pPr>
      <w:r>
        <w:t>•  Favorire innovazione applicata, dimensione d’impresa, filiere e tempi autorizzativi più rapidi.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Lavoro, fisco e impresa devono essere letti come un sistema. Separarli produce politiche belle sulla carta e deboli nei risultati.</w:t>
      </w:r>
    </w:p>
    <w:p>
      <w:r>
        <w:br w:type="page"/>
      </w:r>
    </w:p>
    <w:p>
      <w:pPr>
        <w:pStyle w:val="Heading1"/>
      </w:pPr>
      <w:r>
        <w:t>5. Servizi essenziali e capitale umano</w:t>
      </w:r>
    </w:p>
    <w:p>
      <w:pPr>
        <w:pStyle w:val="PresQuote"/>
      </w:pPr>
      <w:r>
        <w:t>Sanità, scuola, università, formazione, famiglia, casa e giovani non sono temi separati: sono la base della vita adulta e della produttività del Paese.</w:t>
      </w:r>
    </w:p>
    <w:p>
      <w:pPr>
        <w:pStyle w:val="PresBullet"/>
      </w:pPr>
      <w:r>
        <w:t>•  Sanità: priorità a accesso, liste d’attesa, medicina territoriale, governance e presa in carico delle cronicità.</w:t>
      </w:r>
    </w:p>
    <w:p>
      <w:pPr>
        <w:pStyle w:val="PresBullet"/>
      </w:pPr>
      <w:r>
        <w:t>•  Scuola e formazione: apprendimenti di base, orientamento, istruzione tecnica avanzata, legame con il lavoro.</w:t>
      </w:r>
    </w:p>
    <w:p>
      <w:pPr>
        <w:pStyle w:val="PresBullet"/>
      </w:pPr>
      <w:r>
        <w:t>•  Università: capitale umano alto, diritto allo studio, mobilità sociale e connessione con ricerca e sistema produttivo.</w:t>
      </w:r>
    </w:p>
    <w:p>
      <w:pPr>
        <w:pStyle w:val="PresBullet"/>
      </w:pPr>
      <w:r>
        <w:t>•  Famiglia e casa: rendere più compatibili lavoro, figli, affitto, autonomia e mobilità.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Il problema demografico non si risolve con retorica sulla famiglia: si affronta rendendo la vita adulta economicamente e istituzionalmente sostenibile.</w:t>
      </w:r>
    </w:p>
    <w:p>
      <w:r>
        <w:br w:type="page"/>
      </w:r>
    </w:p>
    <w:p>
      <w:pPr>
        <w:pStyle w:val="Heading1"/>
      </w:pPr>
      <w:r>
        <w:t>6. Welfare e fragilità</w:t>
      </w:r>
    </w:p>
    <w:p>
      <w:pPr>
        <w:pStyle w:val="PresQuote"/>
      </w:pPr>
      <w:r>
        <w:t>Un welfare serio distingue. Protegge bene chi non può reggere da solo e attiva bene chi può ripartire.</w:t>
      </w:r>
    </w:p>
    <w:p>
      <w:pPr>
        <w:pStyle w:val="PresBullet"/>
      </w:pPr>
      <w:r>
        <w:t>•  No all’assistenzialismo indistinto: strumenti diversi per povertà temporanea, minori, disabilità, non autosufficienza e fragilità persistenti.</w:t>
      </w:r>
    </w:p>
    <w:p>
      <w:pPr>
        <w:pStyle w:val="PresBullet"/>
      </w:pPr>
      <w:r>
        <w:t>•  Presa in carico vera: integrazione tra trasferimenti, servizi sociali, scuola, sanità e politiche attive.</w:t>
      </w:r>
    </w:p>
    <w:p>
      <w:pPr>
        <w:pStyle w:val="PresBullet"/>
      </w:pPr>
      <w:r>
        <w:t>•  Più attenzione a minori e povertà educativa: qui si decide la trasmissione o la rottura dello svantaggio.</w:t>
      </w:r>
    </w:p>
    <w:p>
      <w:pPr>
        <w:pStyle w:val="PresBullet"/>
      </w:pPr>
      <w:r>
        <w:t>•  Ruolo centrale dei comuni e dei territori, ma con standard nazionali minimi e supporto amministrativo.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Protezione e attivazione non sono opposte: diventano opposte solo quando il welfare è confuso.</w:t>
      </w:r>
    </w:p>
    <w:p>
      <w:r>
        <w:br w:type="page"/>
      </w:r>
    </w:p>
    <w:p>
      <w:pPr>
        <w:pStyle w:val="Heading1"/>
      </w:pPr>
      <w:r>
        <w:t>7. Stato, sicurezza e immigrazione</w:t>
      </w:r>
    </w:p>
    <w:p>
      <w:pPr>
        <w:pStyle w:val="PresQuote"/>
      </w:pPr>
      <w:r>
        <w:t>La capacità statale si misura sui tempi, sull’esecuzione e sulla sicurezza quotidiana, non sui toni.</w:t>
      </w:r>
    </w:p>
    <w:p>
      <w:pPr>
        <w:pStyle w:val="PresBullet"/>
      </w:pPr>
      <w:r>
        <w:t>•  Giustizia civile più rapida e prevedibile; giustizia penale più credibile nei tempi e negli esiti.</w:t>
      </w:r>
    </w:p>
    <w:p>
      <w:pPr>
        <w:pStyle w:val="PresBullet"/>
      </w:pPr>
      <w:r>
        <w:t>•  Sicurezza come diritto quotidiano: degrado urbano, microcriminalità, presidio del territorio, legalità economica.</w:t>
      </w:r>
    </w:p>
    <w:p>
      <w:pPr>
        <w:pStyle w:val="PresBullet"/>
      </w:pPr>
      <w:r>
        <w:t>•  Immigrazione governata per distinzione: lavoro regolare, asilo, irregolarità e integrazione non sono la stessa cosa.</w:t>
      </w:r>
    </w:p>
    <w:p>
      <w:pPr>
        <w:pStyle w:val="PresBullet"/>
      </w:pPr>
      <w:r>
        <w:t>•  Più Stato semplice e responsabile: meno sovraccarico normativo, più catene di responsabilità e atti eseguibili.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Uno Stato serio non annuncia durezza: distingue, decide, coordina e fa accadere.</w:t>
      </w:r>
    </w:p>
    <w:p>
      <w:r>
        <w:br w:type="page"/>
      </w:r>
    </w:p>
    <w:p>
      <w:pPr>
        <w:pStyle w:val="Heading1"/>
      </w:pPr>
      <w:r>
        <w:t>8. Territori e Mezzogiorno</w:t>
      </w:r>
    </w:p>
    <w:p>
      <w:pPr>
        <w:pStyle w:val="PresQuote"/>
      </w:pPr>
      <w:r>
        <w:t>La geografia delle opportunità italiane è troppo diseguale. La coesione è questione di cittadinanza sostanziale, non di elemosina territoriale.</w:t>
      </w:r>
    </w:p>
    <w:p>
      <w:pPr>
        <w:pStyle w:val="PresBullet"/>
      </w:pPr>
      <w:r>
        <w:t>•  Il Mezzogiorno va trattato come area di lavoro, servizi, energia, logistica e capitale umano, non come capitolo compensativo.</w:t>
      </w:r>
    </w:p>
    <w:p>
      <w:pPr>
        <w:pStyle w:val="PresBullet"/>
      </w:pPr>
      <w:r>
        <w:t>•  Le aree interne richiedono accessibilità, funzioni essenziali e selezione realistica delle priorità.</w:t>
      </w:r>
    </w:p>
    <w:p>
      <w:pPr>
        <w:pStyle w:val="PresBullet"/>
      </w:pPr>
      <w:r>
        <w:t>•  Le città e le aree metropolitane vanno governate anche nei loro squilibri: casa, congestione, dualismo urbano.</w:t>
      </w:r>
    </w:p>
    <w:p>
      <w:pPr>
        <w:pStyle w:val="PresBullet"/>
      </w:pPr>
      <w:r>
        <w:t>•  Le politiche territoriali devono essere differenziate: una stessa misura non serve a Milano, Napoli, provincia industriale e Appennino interno.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La coesione territoriale non è uniformità. È standard essenziali comuni e sviluppo differenziato dove serve.</w:t>
      </w:r>
    </w:p>
    <w:p>
      <w:r>
        <w:br w:type="page"/>
      </w:r>
    </w:p>
    <w:p>
      <w:pPr>
        <w:pStyle w:val="Heading1"/>
      </w:pPr>
      <w:r>
        <w:t>9. Europa e interesse nazionale</w:t>
      </w:r>
    </w:p>
    <w:p>
      <w:pPr>
        <w:pStyle w:val="PresQuote"/>
      </w:pPr>
      <w:r>
        <w:t>L’Italia deve stare pienamente in Europa, ma da Paese che negozia, seleziona dossier e collega politica estera ed economia reale.</w:t>
      </w:r>
    </w:p>
    <w:p>
      <w:pPr>
        <w:pStyle w:val="PresBullet"/>
      </w:pPr>
      <w:r>
        <w:t>•  Europeismo negoziale: né subalternità né rottura simbolica.</w:t>
      </w:r>
    </w:p>
    <w:p>
      <w:pPr>
        <w:pStyle w:val="PresBullet"/>
      </w:pPr>
      <w:r>
        <w:t>•  Difesa degli interessi economici italiani su energia, filiere, export, regole fiscali e politica industriale europea.</w:t>
      </w:r>
    </w:p>
    <w:p>
      <w:pPr>
        <w:pStyle w:val="PresBullet"/>
      </w:pPr>
      <w:r>
        <w:t>•  Mediterraneo come priorità concreta: energia, commercio, sicurezza, cooperazione e migrazioni.</w:t>
      </w:r>
    </w:p>
    <w:p>
      <w:pPr>
        <w:pStyle w:val="PresBullet"/>
      </w:pPr>
      <w:r>
        <w:t>•  Difesa e sicurezza lette anche come dossier industriale e tecnologico, non solo militare.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Interesse nazionale non significa alzare i toni. Significa sapere su quali tavoli vale davvero la pena vincere.</w:t>
      </w:r>
    </w:p>
    <w:p>
      <w:r>
        <w:br w:type="page"/>
      </w:r>
    </w:p>
    <w:p>
      <w:pPr>
        <w:pStyle w:val="Heading1"/>
      </w:pPr>
      <w:r>
        <w:t>10. I primi 100 giorni</w:t>
      </w:r>
    </w:p>
    <w:p>
      <w:pPr>
        <w:pStyle w:val="PresQuote"/>
      </w:pPr>
      <w:r>
        <w:t>L’avvio del governo deve dare direzione politica, gerarchia e credibilità amministrativa.</w:t>
      </w:r>
    </w:p>
    <w:p>
      <w:pPr>
        <w:pStyle w:val="PresBullet"/>
      </w:pPr>
      <w:r>
        <w:t>•  Pacchetto lavoro e cuneo: impostazione chiara delle priorità pro-lavoro.</w:t>
      </w:r>
    </w:p>
    <w:p>
      <w:pPr>
        <w:pStyle w:val="PresBullet"/>
      </w:pPr>
      <w:r>
        <w:t>•  Avvio del piano sanità e tempi d’attesa con responsabilità e indicatori pubblici.</w:t>
      </w:r>
    </w:p>
    <w:p>
      <w:pPr>
        <w:pStyle w:val="PresBullet"/>
      </w:pPr>
      <w:r>
        <w:t>•  Primi atti su semplificazione amministrativa e procedimenti chiave.</w:t>
      </w:r>
    </w:p>
    <w:p>
      <w:pPr>
        <w:pStyle w:val="PresBullet"/>
      </w:pPr>
      <w:r>
        <w:t>•  Quadro politico su casa, giovani, welfare attivo, sicurezza quotidiana e canali legali di ingresso.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I primi 100 giorni non servono a cambiare tutto. Servono a rendere visibile il metodo di governo.</w:t>
      </w:r>
    </w:p>
    <w:p>
      <w:r>
        <w:br w:type="page"/>
      </w:r>
    </w:p>
    <w:p>
      <w:pPr>
        <w:pStyle w:val="Heading1"/>
      </w:pPr>
      <w:r>
        <w:t>11. Entro 1 anno, entro 3 anni, entro 5 anni</w:t>
      </w:r>
    </w:p>
    <w:p>
      <w:pPr>
        <w:pStyle w:val="PresQuote"/>
      </w:pPr>
      <w:r>
        <w:t>Il programma non promette effetti simultanei: distingue segnali, architetture, risultati intermedi e trasformazioni strutturali.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5F5"/>
          </w:tcPr>
          <w:p>
            <w:r>
              <w:rPr>
                <w:b/>
                <w:color w:val="1C3A5F"/>
                <w:sz w:val="19"/>
              </w:rPr>
              <w:t>Orizzonte</w:t>
            </w:r>
          </w:p>
        </w:tc>
        <w:tc>
          <w:tcPr>
            <w:tcW w:type="dxa" w:w="4986"/>
            <w:shd w:fill="D9E5F5"/>
          </w:tcPr>
          <w:p>
            <w:r>
              <w:rPr>
                <w:b/>
                <w:color w:val="1C3A5F"/>
                <w:sz w:val="19"/>
              </w:rPr>
              <w:t>Obiettivo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1 anno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Aprire i cantieri legislativi e amministrativi, definire standard, attuatori e monitoraggio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3 anni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Mostrare primi risultati misurabili su lavoro, tempi, servizi, investimenti, attuazione</w:t>
            </w:r>
          </w:p>
        </w:tc>
      </w:tr>
      <w:tr>
        <w:tc>
          <w:tcPr>
            <w:tcW w:type="dxa" w:w="4986"/>
          </w:tcPr>
          <w:p>
            <w:r>
              <w:rPr>
                <w:sz w:val="19"/>
              </w:rPr>
              <w:t>5 anni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Consolidare effetti su produttività, capitale umano, coesione, accesso ai servizi e credibilità dello Stato</w:t>
            </w:r>
          </w:p>
        </w:tc>
      </w:tr>
    </w:tbl>
    <w:p>
      <w:r>
        <w:br w:type="page"/>
      </w:r>
    </w:p>
    <w:p>
      <w:pPr>
        <w:pStyle w:val="Heading1"/>
      </w:pPr>
      <w:r>
        <w:t>12. Perché questo progetto può reggere</w:t>
      </w:r>
    </w:p>
    <w:p>
      <w:pPr>
        <w:pStyle w:val="PresQuote"/>
      </w:pPr>
      <w:r>
        <w:t>La forza del manifesto non sta nella radicalità dei toni, ma nella coerenza tra diagnosi, priorità, strumenti e tempi.</w:t>
      </w:r>
    </w:p>
    <w:p>
      <w:pPr>
        <w:pStyle w:val="PresBullet"/>
      </w:pPr>
      <w:r>
        <w:t>•  Ha un centro di gravità chiaro: lavoro, Stato che funziona, servizi essenziali, capacità produttiva, coesione.</w:t>
      </w:r>
    </w:p>
    <w:p>
      <w:pPr>
        <w:pStyle w:val="PresBullet"/>
      </w:pPr>
      <w:r>
        <w:t>•  Tratta il vincolo di bilancio come criterio di scelta, non come alibi o propaganda.</w:t>
      </w:r>
    </w:p>
    <w:p>
      <w:pPr>
        <w:pStyle w:val="PresBullet"/>
      </w:pPr>
      <w:r>
        <w:t>•  Distingue tra protezione e rendita, tra sicurezza e securitarismo, tra europeismo serio e subalternità.</w:t>
      </w:r>
    </w:p>
    <w:p>
      <w:pPr>
        <w:pStyle w:val="PresBullet"/>
      </w:pPr>
      <w:r>
        <w:t>•  È pensato per essere trasformato in agenda di governo e in piattaforma pubblica più breve.</w:t>
      </w:r>
    </w:p>
    <w:p>
      <w:pPr>
        <w:pStyle w:val="Heading2"/>
      </w:pPr>
      <w:r>
        <w:t>Messaggio chiave</w:t>
      </w:r>
    </w:p>
    <w:p>
      <w:pPr>
        <w:pStyle w:val="PresQuote"/>
      </w:pPr>
      <w:r>
        <w:t>Non un manifesto onnivoro. Un manifesto leggibile, selettivo e governabile.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color w:val="5A5A5A"/>
        <w:sz w:val="19"/>
      </w:rPr>
      <w:t xml:space="preserve">Pagina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Manifesto politico — versione breve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Cambria" w:hAnsi="Cambria" w:eastAsia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1C3A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22406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2D2D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 w:ascii="Cambria" w:hAnsi="Cambria" w:eastAsia="Cambria"/>
      <w:b/>
      <w:color w:val="162C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Theme="majorHAnsi" w:eastAsiaTheme="majorEastAsia" w:hAnsiTheme="majorHAnsi" w:cstheme="majorBidi" w:ascii="Cambria" w:hAnsi="Cambria" w:eastAsia="Cambria"/>
      <w:i/>
      <w:iCs/>
      <w:color w:val="5A5A5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mmaryBox">
    <w:name w:val="Summary Box"/>
    <w:basedOn w:val="Normal"/>
    <w:pPr>
      <w:spacing w:after="160"/>
    </w:pPr>
    <w:rPr>
      <w:i/>
      <w:color w:val="444444"/>
      <w:sz w:val="21"/>
    </w:rPr>
  </w:style>
  <w:style w:type="paragraph" w:customStyle="1" w:styleId="SmallNote">
    <w:name w:val="Small Note"/>
    <w:basedOn w:val="Normal"/>
    <w:rPr>
      <w:color w:val="646464"/>
      <w:sz w:val="18"/>
    </w:rPr>
  </w:style>
  <w:style w:type="paragraph" w:customStyle="1" w:styleId="TOCEntry">
    <w:name w:val="TOC Entry"/>
    <w:basedOn w:val="Normal"/>
    <w:pPr>
      <w:spacing w:after="40"/>
      <w:ind w:left="227"/>
    </w:pPr>
    <w:rPr>
      <w:sz w:val="20"/>
    </w:rPr>
  </w:style>
  <w:style w:type="paragraph" w:customStyle="1" w:styleId="ManifestoBullet">
    <w:name w:val="Manifesto Bullet"/>
    <w:basedOn w:val="Normal"/>
    <w:pPr>
      <w:spacing w:after="40"/>
      <w:ind w:left="340" w:hanging="198"/>
    </w:pPr>
    <w:rPr>
      <w:sz w:val="21"/>
    </w:rPr>
  </w:style>
  <w:style w:type="paragraph" w:customStyle="1" w:styleId="PresBullet">
    <w:name w:val="Pres Bullet"/>
    <w:basedOn w:val="Normal"/>
    <w:pPr>
      <w:spacing w:after="80"/>
      <w:ind w:left="340" w:hanging="198"/>
    </w:pPr>
  </w:style>
  <w:style w:type="paragraph" w:customStyle="1" w:styleId="PresQuote">
    <w:name w:val="Pres Quote"/>
    <w:basedOn w:val="Normal"/>
    <w:pPr>
      <w:spacing w:after="240"/>
      <w:ind w:left="227" w:right="227"/>
    </w:pPr>
    <w:rPr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Sintesi programmatica per l’Italia</dc:title>
  <dc:subject>Documento di presentazione</dc:subject>
  <dc:creator>Autore indipendente</dc:creator>
  <cp:keywords>manifesto, programma, politica, italia</cp:keywords>
  <dc:description/>
  <cp:lastModifiedBy/>
  <cp:revision>1</cp:revision>
  <dcterms:created xsi:type="dcterms:W3CDTF">2013-12-23T23:15:00Z</dcterms:created>
  <dcterms:modified xsi:type="dcterms:W3CDTF">2013-12-23T23:15:00Z</dcterms:modified>
  <cp:category>Documento politico-programmatico</cp:category>
</cp:coreProperties>
</file>