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0FC35" w14:textId="77777777" w:rsidR="001870DC" w:rsidRDefault="00000000">
      <w:r>
        <w:t>This period was marked by the launch of new banking products and services, the development of activities on the financial markets, expansion in France and at the international level, and preparation for the advent of the euro.</w:t>
      </w:r>
    </w:p>
    <w:p w14:paraId="24786F12" w14:textId="77777777" w:rsidR="001870DC" w:rsidRDefault="00000000">
      <w:r>
        <w:t>It has two goals, to create value for shareholders, clients and employees by building the bank of the future, and to become a leading global player.</w:t>
      </w:r>
    </w:p>
    <w:p w14:paraId="3B49DC15" w14:textId="77777777" w:rsidR="001870DC" w:rsidRDefault="00000000">
      <w:r>
        <w:t>On the strength of its teams commitment, the Bank aims to finance the specific needs of its customers, actively contribute to the development of the Belgian economy, and support the sustainable and energy transition, while affirming a deep commitment to society.</w:t>
      </w:r>
    </w:p>
    <w:p w14:paraId="1B8CE39A" w14:textId="77777777" w:rsidR="001870DC" w:rsidRDefault="00000000">
      <w:r>
        <w:t>BNP Paribas Fortis has a commercial organisation organised in three segments to better meet customer expectations, BNP Paribas Fortis serves customers through its various integrated networks, as part of a hybrid banking strategy combining physical networks and digital channels, BNP Paribas Fortis continued its digital development and customer experience improvement, in particular with the development of remote Easy Banking services with new features and improved performance.</w:t>
      </w:r>
    </w:p>
    <w:p w14:paraId="070459D9" w14:textId="77777777" w:rsidR="001870DC" w:rsidRDefault="00000000">
      <w:r>
        <w:t>These digital platforms are enriched by active collaboration with fintechs such as TINK for the development of an effective budget management tool.</w:t>
      </w:r>
    </w:p>
    <w:p w14:paraId="4CF79793" w14:textId="77777777" w:rsidR="001870DC" w:rsidRDefault="00000000">
      <w:r>
        <w:t>With the expertise of their employees, they support their customers to bring their plan to fruition, with, EUROPE‑MEDITERRANEAN Within the CPBS division, Europe‑Mediterranean brings together BNP Paribas commercial banking activities for individuals, professionals and companies outside the Eurozone.</w:t>
      </w:r>
    </w:p>
    <w:p w14:paraId="517EAFA7" w14:textId="77777777" w:rsidR="001870DC" w:rsidRDefault="00000000">
      <w:r>
        <w:t>EM operates in dynamic markets with significant growth potential by prioritising initiatives focused on social impact and ecological transition.</w:t>
      </w:r>
    </w:p>
    <w:p w14:paraId="04257DED" w14:textId="77777777" w:rsidR="001870DC" w:rsidRDefault="00000000">
      <w:r>
        <w:t>In addition, BNP Paribas Bank Polska maintained its leading position in ESG rating in the banking sector of Poland BMCI granted the first Inclusive and Sustainability Linked Financing ISLF+ in the Moroccan market to support financial inclusion.</w:t>
      </w:r>
    </w:p>
    <w:p w14:paraId="2D5CA1EC" w14:textId="77777777" w:rsidR="001870DC" w:rsidRDefault="00000000">
      <w:r>
        <w:t>The financing of clean mobility and home improvement are two major pillars of the development strategy.</w:t>
      </w:r>
    </w:p>
    <w:p w14:paraId="55BCB6BF" w14:textId="77777777" w:rsidR="001870DC" w:rsidRDefault="00000000">
      <w:r>
        <w:t>The energy renovation of housing must improve the living conditions and comfort of consumers while reducing their greenhouse gas emissions.</w:t>
      </w:r>
    </w:p>
    <w:p w14:paraId="43BB9953" w14:textId="77777777" w:rsidR="001870DC" w:rsidRDefault="00000000">
      <w:r>
        <w:t>Through this financial support, BNP Paribas Personal Finance will finance EUR 627 million in subsidised loans to French households over three years, to improve the energy efficiency of housing.</w:t>
      </w:r>
    </w:p>
    <w:p w14:paraId="0EF5DA20" w14:textId="77777777" w:rsidR="001870DC" w:rsidRDefault="00000000">
      <w:r>
        <w:t>The continuous adaptation of processes, tools, services and products to new challenges, combined with a customer satisfaction programme developed across all international activities, aims to offer the easiest and smoothest customer experience.</w:t>
      </w:r>
    </w:p>
    <w:p w14:paraId="08BDB05B" w14:textId="77777777" w:rsidR="001870DC" w:rsidRDefault="00000000">
      <w:r>
        <w:lastRenderedPageBreak/>
        <w:t>BNP Paribas Cardif more than 8,800 employees, operating in 30 countries, EUR 287 billion in assets under management designs, develops, and markets savings and protection solutions with more than 500 distribution partners to insure individuals, their projects, and their assets.</w:t>
      </w:r>
    </w:p>
    <w:p w14:paraId="70234568" w14:textId="77777777" w:rsidR="001870DC" w:rsidRDefault="00000000">
      <w:r>
        <w:t>Concerned about its environmental impact, BNP Paribas Cardif has committed to aligning its portfolios with a carbon neutrality trajectory by 2050, reducing the carbon intensity of its investment portfolios linked to electricity producers, and has joined the Net‑Zero Asset Owner Alliance.</w:t>
      </w:r>
    </w:p>
    <w:p w14:paraId="142AA962" w14:textId="77777777" w:rsidR="001870DC" w:rsidRDefault="00000000">
      <w:r>
        <w:t>As a reference player in the industry due to its experience, reputation, and expertise, BNP Paribas Wealth Management offers its clients a wide range of products and services by mobilising its extensive network of experts, financial experts, wealth engineers, discretionary portfolio managers, financial analysts, private bankers specialised in family shareholding, credit structuring experts, real estate specialists, responsible investment experts, advisors in rural land, art, philanthropy, etc.</w:t>
      </w:r>
    </w:p>
    <w:p w14:paraId="43B0DF28" w14:textId="77777777" w:rsidR="001870DC" w:rsidRDefault="00000000">
      <w:r>
        <w:t>Aware of its economic, social, and environmental responsibilities, BNP Paribas Real Estate aims for sustainable real estate in all its activities and pursues a policy of improving the environmental qualities of the assets it builds, manages, and owns.</w:t>
      </w:r>
    </w:p>
    <w:p w14:paraId="736DD11A" w14:textId="77777777" w:rsidR="001870DC" w:rsidRDefault="00000000">
      <w:r>
        <w:t>More specifically, an Investor Relations Officer is responsible for liaising with managers of ethical and socially responsible funds.</w:t>
      </w:r>
    </w:p>
    <w:p w14:paraId="56FBCEE6" w14:textId="77777777" w:rsidR="001870DC" w:rsidRDefault="00000000">
      <w:r>
        <w:t>A section dedicated to social and environmental responsibility describes the Banks goals, the policy followed and the main achievements in this area.</w:t>
      </w:r>
    </w:p>
    <w:p w14:paraId="153D4285" w14:textId="77777777" w:rsidR="001870DC" w:rsidRDefault="00000000">
      <w:r>
        <w:t>In response to the expectations of individual shareholders and investors, and to meet strict regulatory transparency and disclosure requirements, BNP Paribas regularly adds sections to its website and improves existing sections with enhanced content and new functions.</w:t>
      </w:r>
    </w:p>
    <w:p w14:paraId="6A2DB08C" w14:textId="77777777" w:rsidR="001870DC" w:rsidRDefault="00000000">
      <w:r>
        <w:t>They provide for joint meetings between the Financial Statements Committee and the Internal Control, Risk and Compliance Committee whenever required.</w:t>
      </w:r>
    </w:p>
    <w:p w14:paraId="75DAC897" w14:textId="77777777" w:rsidR="001870DC" w:rsidRDefault="00000000">
      <w:r>
        <w:t>The Internal Rules and Suitability policy mentioned above have been adopted by the Board of directors and are included in this report.</w:t>
      </w:r>
    </w:p>
    <w:p w14:paraId="654E51F9" w14:textId="77777777" w:rsidR="001870DC" w:rsidRDefault="00000000">
      <w:r>
        <w:t>Monitoring of the efﬁciency of the internal control systems and of risk management systems concerning accounting and ﬁnancial matters.</w:t>
      </w:r>
    </w:p>
    <w:p w14:paraId="08ABA6BC" w14:textId="77777777" w:rsidR="001870DC" w:rsidRDefault="00000000">
      <w:r>
        <w:t>Monitoring of the efﬁciency of the internal control systems and of risk management concerning sustainability matters.</w:t>
      </w:r>
    </w:p>
    <w:p w14:paraId="3C2835A4" w14:textId="77777777" w:rsidR="001870DC" w:rsidRDefault="00000000">
      <w:r>
        <w:t>Oversight and monitoring of the compliance of governance principles with changes in regulations and best practices in the area of corporate governance.</w:t>
      </w:r>
    </w:p>
    <w:p w14:paraId="6D9EA905" w14:textId="77777777" w:rsidR="001870DC" w:rsidRDefault="00000000">
      <w:r>
        <w:lastRenderedPageBreak/>
        <w:t>Control of the compensation of the Head of Risk Management, the Head of Compliance and the Inspector General.</w:t>
      </w:r>
    </w:p>
    <w:p w14:paraId="7AC719DA" w14:textId="77777777" w:rsidR="001870DC" w:rsidRDefault="00000000">
      <w:r>
        <w:t>Moreover, two members of the Internal Control, Risk Management and Compliance Committee, Mr.</w:t>
      </w:r>
    </w:p>
    <w:p w14:paraId="4337B5C2" w14:textId="77777777" w:rsidR="001870DC" w:rsidRDefault="00000000">
      <w:r>
        <w:t>Christian Noyer and Ms.</w:t>
      </w:r>
    </w:p>
    <w:p w14:paraId="4B44AD2A" w14:textId="77777777" w:rsidR="001870DC" w:rsidRDefault="00000000">
      <w:r>
        <w:t>Daniela Schwarzer are also members of the Financial Statements Committee in order to promote the work of the two Committees on the adequacy of the risks and provisions recognised by the Bank.</w:t>
      </w:r>
    </w:p>
    <w:p w14:paraId="24B40E5C" w14:textId="77777777" w:rsidR="001870DC" w:rsidRDefault="00000000">
      <w:r>
        <w:t>He is responsible for the organisation of internal control procedures and for all the information required by regulations in that regard.</w:t>
      </w:r>
    </w:p>
    <w:p w14:paraId="2A979AB1" w14:textId="77777777" w:rsidR="001870DC" w:rsidRDefault="00000000">
      <w:r>
        <w:t>Directors knowledge, skills and experience Diversity and complementarity sustainability statements When the Corporate Governance, Ethics, Nominations and CSR Committee reviews the skills and experience of potential directors, it is careful to maintain the diversity and collective skills of the Board of directors in light of changes to the Banks strategy and in accordance with the Suitability policy.</w:t>
      </w:r>
    </w:p>
    <w:p w14:paraId="151645C8" w14:textId="77777777" w:rsidR="001870DC" w:rsidRDefault="00000000">
      <w:r>
        <w:t>Among his various mandates, Mr.</w:t>
      </w:r>
    </w:p>
    <w:p w14:paraId="127FB618" w14:textId="77777777" w:rsidR="001870DC" w:rsidRDefault="00000000">
      <w:r>
        <w:t>Jean Lemierre is a member of the Board of directors of the Institut de la Finance Durable, which aims to coordinate, federate and accelerate the action of the Paris financial centre to achieve the ecological transition and transform the economy towards a low‑carbon and inclusive model, aligned with the objectives of the Paris Agreement and the UN Sustainable Development Goals.</w:t>
      </w:r>
    </w:p>
    <w:p w14:paraId="48795F2E" w14:textId="77777777" w:rsidR="001870DC" w:rsidRDefault="00000000">
      <w:r>
        <w:t>Aware of the need to integrate the Groups CSR strategy into its business model, in 2022, Mr.</w:t>
      </w:r>
    </w:p>
    <w:p w14:paraId="734544D8" w14:textId="77777777" w:rsidR="001870DC" w:rsidRDefault="00000000">
      <w:r>
        <w:t>Jean‑Laurent Bonnafé presented a 2025 strategic plan entitled GTS Growth, Technology, Sustainability, approved by the Board of directors, whose Sustainability pillar aims to accelerate the Groups commitments in terms of sustainable finance around five priority areas aligned with client objectives and the United Nations Sustainable Development Goals Sustainable savings, investments and financing.</w:t>
      </w:r>
    </w:p>
    <w:p w14:paraId="436F0A34" w14:textId="77777777" w:rsidR="001870DC" w:rsidRDefault="00000000">
      <w:r>
        <w:t>The Group has notably undertaken an alignment of portfolios to achieve carbon‑neutrality objectives while laying out a CO emissions reduction trajectory corresponding to financing of the sectors with the highest levels of emissions and aligning business lines with shared objectives taking into account client transitions.</w:t>
      </w:r>
    </w:p>
    <w:p w14:paraId="15E750C6" w14:textId="77777777" w:rsidR="001870DC" w:rsidRDefault="00000000">
      <w:r>
        <w:t>Under the direction of Mr.</w:t>
      </w:r>
    </w:p>
    <w:p w14:paraId="66127446" w14:textId="77777777" w:rsidR="001870DC" w:rsidRDefault="00000000">
      <w:r>
        <w:t>Jean‑Laurent Bonnafé, the integrated model and all of the Groups business lines are fully mobilised and committed to supporting customers in their transition to a sustainable and low‑carbon economy.</w:t>
      </w:r>
    </w:p>
    <w:p w14:paraId="6D03920B" w14:textId="77777777" w:rsidR="001870DC" w:rsidRDefault="00000000">
      <w:r>
        <w:lastRenderedPageBreak/>
        <w:t>Among his various mandates, Mr Jacques Aschenbroich, until 2023, was Vice‑Chairman of the Institut de la Finance Durable, which aims to coordinate, federate and accelerate the action of the Paris financial centre to achieve the ecological transition and transform the economy towards a low‑carbon and inclusive model, aligned with the objectives of the Paris Agreement and the UN Sustainable Development Goals.</w:t>
      </w:r>
    </w:p>
    <w:p w14:paraId="3D06B06C" w14:textId="6DFE4ACD" w:rsidR="001870DC" w:rsidRDefault="00000000">
      <w:r>
        <w:t>She is Head of Governance and Permanent Control of the Corporate Engagement Department of the BNP Paribas Group</w:t>
      </w:r>
      <w:r w:rsidR="00283BA8">
        <w:t xml:space="preserve">, </w:t>
      </w:r>
      <w:r>
        <w:t>whose mission is to define and implement the strategy of engagement in the main sectors related to the future of society, such as economic development, the environment and the energy and climate transition, social integration, regional development, diversity and human rights.</w:t>
      </w:r>
    </w:p>
    <w:p w14:paraId="44AB05D0" w14:textId="77777777" w:rsidR="001870DC" w:rsidRDefault="00000000">
      <w:r>
        <w:t>Daniela Schwarzer was previously Executive Director for Europe and Central Asia of the Open Society Foundation, a network of foundations whose objectives are to promote democratic governance, human rights and economic, social and legal reforms.</w:t>
      </w:r>
    </w:p>
    <w:p w14:paraId="700AC996" w14:textId="77777777" w:rsidR="001870DC" w:rsidRDefault="00000000">
      <w:r>
        <w:t>The directors must carry out their duties in a responsible manner, particularly as regards the regulations relating to insider dealing.</w:t>
      </w:r>
    </w:p>
    <w:p w14:paraId="68E47534" w14:textId="77777777" w:rsidR="001870DC" w:rsidRDefault="00000000">
      <w:r>
        <w:t>Executive sessions In addition to the assessments of the performance and compensation of the executive corporate officers, which were discussed outside their presence, five meetings of directors were held in the form of executive sessions on the Groups challenges and operations, of which three as a follow‑up to the training sessions provided during the year.</w:t>
      </w:r>
    </w:p>
    <w:p w14:paraId="1F713385" w14:textId="77777777" w:rsidR="001870DC" w:rsidRDefault="00000000">
      <w:r>
        <w:t>Monitoring of the Conduct framework The Corporate Governance, Ethics, Nominations and CSR Committee, in accordance with its powers, devoted one meeting to reviewing the main actions taken during the past year to strengthen the Conduct framework within the Group.</w:t>
      </w:r>
    </w:p>
    <w:p w14:paraId="54D230CF" w14:textId="77777777" w:rsidR="001870DC" w:rsidRDefault="00000000">
      <w:r>
        <w:t>The Heads of RISK, Compliance and Inspection Générale participate in the Board of directors meeting during which the Chairman of the relevant committee reports on their annual hearing.</w:t>
      </w:r>
    </w:p>
    <w:p w14:paraId="1EA75795" w14:textId="77777777" w:rsidR="001870DC" w:rsidRDefault="00000000">
      <w:r>
        <w:t>He sees to it that the Board of directors devotes an appropriate amount of time to issues relating to the future of the Company and particularly its strategy.</w:t>
      </w:r>
    </w:p>
    <w:p w14:paraId="14D7B591" w14:textId="77777777" w:rsidR="001870DC" w:rsidRDefault="00000000">
      <w:r>
        <w:t>In this case, all the measures of protection considered necessary are taken to protect the confidentiality, the integrity and the availability of the information and each member of the Board or any person who has received the documentation is responsible not only for the systems and media thus placed at disposal but also for their access.</w:t>
      </w:r>
    </w:p>
    <w:p w14:paraId="325D2543" w14:textId="77777777" w:rsidR="001870DC" w:rsidRDefault="00000000">
      <w:r>
        <w:t>The directors shall ensure that their knowledge is kept updated in compliance with the Policy on the suitability of Members of the management body and Key function holders.</w:t>
      </w:r>
    </w:p>
    <w:p w14:paraId="3A6B4DE9" w14:textId="77777777" w:rsidR="001870DC" w:rsidRDefault="00000000">
      <w:r>
        <w:t>The directors representing employees and the director representing employee shareholders are given time dedicated to training determined by the Board in accordance with the regulations in force.</w:t>
      </w:r>
    </w:p>
    <w:p w14:paraId="4198C3ED" w14:textId="77777777" w:rsidR="001870DC" w:rsidRDefault="00000000">
      <w:r>
        <w:lastRenderedPageBreak/>
        <w:t>Limitation on directorships The director complies with the statutory and regulatory provisions which are applicable to him or her, or which are applicable to BNP Paribas, concerning limitations on directorships, as well as the Policy on the suitability of Members of the management body and Key function holders.</w:t>
      </w:r>
    </w:p>
    <w:p w14:paraId="1CA14499" w14:textId="77777777" w:rsidR="001870DC" w:rsidRDefault="00000000">
      <w:r>
        <w:t>Conflicts of interests The director complies with the applicable statutory and regulatory provisions regarding conflicts of interests in particular the so‑called related‑party agreements conventions réglementées regime as well as with the Policy on the suitability of Members of the management body and Key function holders.</w:t>
      </w:r>
    </w:p>
    <w:p w14:paraId="71D171D4" w14:textId="77777777" w:rsidR="001870DC" w:rsidRDefault="00000000">
      <w:r>
        <w:t>Their remits do not reduce or limit the powers of the Board of directors.</w:t>
      </w:r>
    </w:p>
    <w:p w14:paraId="0B08C077" w14:textId="77777777" w:rsidR="001870DC" w:rsidRDefault="00000000">
      <w:r>
        <w:t>In this case, all the measures of protection considered necessary are taken for the purposes of protecting the confidentiality, integrity and the availability of the information and each member of the specialised committee concerned or any person who has received the documentation is responsible not only for the systems and media and their provision but also for their access.</w:t>
      </w:r>
    </w:p>
    <w:p w14:paraId="69CC3EAA" w14:textId="77777777" w:rsidR="001870DC" w:rsidRDefault="00000000">
      <w:r>
        <w:t>It makes, as the case may be, recommendations, in order to ensure integrity of the elaboration process of the financial information.</w:t>
      </w:r>
    </w:p>
    <w:p w14:paraId="5B8CEAC1" w14:textId="77777777" w:rsidR="001870DC" w:rsidRDefault="00000000">
      <w:r>
        <w:t>With regard to sustainability information The Financial Statements Committee monitors the process of preparing information on sustainability and the process implemented to determine the information to be published in accordance with the so‑called ESRS European Sustainability Reporting Standards for the communication of information in terms of sustainability.</w:t>
      </w:r>
    </w:p>
    <w:p w14:paraId="4816D6A3" w14:textId="77777777" w:rsidR="001870DC" w:rsidRDefault="00000000">
      <w:r>
        <w:t>It makes, as the case may be, recommendations, in order to ensure integrity of these processes.</w:t>
      </w:r>
    </w:p>
    <w:p w14:paraId="2F3513F7" w14:textId="77777777" w:rsidR="001870DC" w:rsidRDefault="00000000">
      <w:r>
        <w:t>Within this framework, the Financial Statements Committee analyses, at least twice a year, the summary of the operations and the results of the accounting and financial internal control, as well as those originating from controls on the elaboration process and the processing of accounting, financial and extra‑financial information, based on the information communicated to it by the Executive Management.</w:t>
      </w:r>
    </w:p>
    <w:p w14:paraId="224BC206" w14:textId="77777777" w:rsidR="001870DC" w:rsidRDefault="00000000">
      <w:r>
        <w:t>It receives from the Statutory Auditors a written report on their main observations concerning the weaknesses of internal control and reviews it, as well as most significant recommendations issued in the framework of their mission and reviews it.</w:t>
      </w:r>
    </w:p>
    <w:p w14:paraId="4F5F2B1B" w14:textId="77777777" w:rsidR="001870DC" w:rsidRDefault="00000000">
      <w:r>
        <w:t>It takes notes of the most significant statements and recommendations issued by the internal audit in the framework of their missions regarding accounting and financial information.</w:t>
      </w:r>
    </w:p>
    <w:p w14:paraId="11059D3A" w14:textId="77777777" w:rsidR="001870DC" w:rsidRDefault="00000000">
      <w:r>
        <w:t xml:space="preserve">Where questions of interpretation of accounting principles arise in connection with quarterly, half‑yearly and annual results, and involve choices with a significant impact, the Statutory Auditors and Finance &amp; Strategy shall submit, on a quarterly basis, a </w:t>
      </w:r>
      <w:r>
        <w:lastRenderedPageBreak/>
        <w:t>memorandum to the committee analysing the nature and significance of the issues at play, presenting the pros and cons of the various possible solutions and explaining the rationale for the choices ultimately made.</w:t>
      </w:r>
    </w:p>
    <w:p w14:paraId="1F6D7B8F" w14:textId="77777777" w:rsidR="001870DC" w:rsidRDefault="00000000">
      <w:r>
        <w:t>It also takes note of the most significant statements and recommendations issued by the internal audit in the framework of their missions regarding sustainability information.</w:t>
      </w:r>
    </w:p>
    <w:p w14:paraId="4629ED59" w14:textId="77777777" w:rsidR="001870DC" w:rsidRDefault="00000000">
      <w:r>
        <w:t>At least once a year, the Financial Statements Committee devotes part of the meeting to a discussion with the Statutory Auditors for the purpose of certifying sustainability information, without any member of the Company's Executive Management being present.</w:t>
      </w:r>
    </w:p>
    <w:p w14:paraId="51834559" w14:textId="77777777" w:rsidR="001870DC" w:rsidRDefault="00000000">
      <w:r>
        <w:t>Monitoring the independence of the Statutory Auditors The Financial Statements Committee ensures compliance with the independence conditions required for auditors to perform the certification of financial statements and certification of information in terms of sustainability.</w:t>
      </w:r>
    </w:p>
    <w:p w14:paraId="34085541" w14:textId="77777777" w:rsidR="001870DC" w:rsidRDefault="00000000">
      <w:r>
        <w:t>It issues an opinion on the amount of fees for the performance of the statutory audit of the annual financial statements, the consolidated financial statements and certification of information in terms of sustainability.</w:t>
      </w:r>
    </w:p>
    <w:p w14:paraId="3EBB63FF" w14:textId="77777777" w:rsidR="001870DC" w:rsidRDefault="00000000">
      <w:r>
        <w:t>It shall ensure that the amount or the portion of the audit firms or the networks revenues that BNP Paribas represents is not likely to compromise the Statutory Auditors independence.</w:t>
      </w:r>
    </w:p>
    <w:p w14:paraId="35F80F1F" w14:textId="77777777" w:rsidR="001870DC" w:rsidRDefault="00000000">
      <w:r>
        <w:t>The committee shall receive, on a yearly basis from Finance &amp; Strategy, a report on all services carried out by the networks to which the Groups Statutory Auditors belong.</w:t>
      </w:r>
    </w:p>
    <w:p w14:paraId="0868D7CE" w14:textId="77777777" w:rsidR="001870DC" w:rsidRDefault="00000000">
      <w:r>
        <w:t>The committee reviews the overall amount of his compensation and its composition, ensuring that it remains in line with his objectives and his assessment, and submits its opinion to the Remuneration Committee.</w:t>
      </w:r>
    </w:p>
    <w:p w14:paraId="392BAE83" w14:textId="77777777" w:rsidR="001870DC" w:rsidRDefault="00000000">
      <w:r>
        <w:t>For this purpose, the committee examines the key orientations of the Groups risk policy, including social and environmental orientations, based on measurements of the risk and profitability of the operations reported to it, in accordance with the regulations in force, as well as any specific issues related to these matters and methods.</w:t>
      </w:r>
    </w:p>
    <w:p w14:paraId="5BD2A5AA" w14:textId="77777777" w:rsidR="001870DC" w:rsidRDefault="00000000">
      <w:r>
        <w:t>Missions concerning remuneration Without prejudice to the missions of the Remuneration Committee, the Internal Control, Risk Management and Compliance Committee examines whether the incentives provided for by the policy and the remuneration practices of the Company are compatible with its situation with respect to the risks to which it is exposed, its capital, its liquidity and the probability and the spreading over time of the expected profits.</w:t>
      </w:r>
    </w:p>
    <w:p w14:paraId="3B2A4EF0" w14:textId="77777777" w:rsidR="001870DC" w:rsidRDefault="00000000">
      <w:r>
        <w:t>Missions concerning internal control and compliance The committee ensures compliance with its obligations relating to internal control, including compliance with banking and financial regulations on internal control.</w:t>
      </w:r>
    </w:p>
    <w:p w14:paraId="61232168" w14:textId="77777777" w:rsidR="001870DC" w:rsidRDefault="00000000">
      <w:r>
        <w:lastRenderedPageBreak/>
        <w:t>Twice a year, it examines the internal control operations and findings excluding periodic control, accounting and financial internal control and sustainability information, which is the responsibility of the Financial Statements Committee based on the information provided to it by Executive Management and the reports presented to it by the Heads of Permanent Control, Compliance and RISK.</w:t>
      </w:r>
    </w:p>
    <w:p w14:paraId="1BC572EB" w14:textId="77777777" w:rsidR="001870DC" w:rsidRDefault="00000000">
      <w:r>
        <w:t>Its role is to help the Board of directors to adapt Corporate governance practices within BNP Paribas and to assess its functioning.</w:t>
      </w:r>
    </w:p>
    <w:p w14:paraId="00D65693" w14:textId="77777777" w:rsidR="001870DC" w:rsidRDefault="00000000">
      <w:r>
        <w:t>The Committee is responsible for monitoring the Groups social and environmental responsibility CSR policy.</w:t>
      </w:r>
    </w:p>
    <w:p w14:paraId="39C3F788" w14:textId="77777777" w:rsidR="001870DC" w:rsidRDefault="00000000">
      <w:r>
        <w:t>As such, it regularly monitors the actions taken in terms of climate transition, sustainable finance and initiatives in favour of ethical responsibility.</w:t>
      </w:r>
    </w:p>
    <w:p w14:paraId="2DFBE3BE" w14:textId="77777777" w:rsidR="001870DC" w:rsidRDefault="00000000">
      <w:r>
        <w:t>The committee regularly reviews this policy and proposes any amendments it deems advisable to the Board of directors.</w:t>
      </w:r>
    </w:p>
    <w:p w14:paraId="335CABF8" w14:textId="77777777" w:rsidR="001870DC" w:rsidRDefault="00000000">
      <w:r>
        <w:t>The committee sets an objective to achieve with respect to gender balance on the Board of directors.</w:t>
      </w:r>
    </w:p>
    <w:p w14:paraId="053E0890" w14:textId="77777777" w:rsidR="001870DC" w:rsidRDefault="00000000">
      <w:r>
        <w:t>This objective and this policy, once set, are approved by the Board of directors.</w:t>
      </w:r>
    </w:p>
    <w:p w14:paraId="37DB2A05" w14:textId="77777777" w:rsidR="001870DC" w:rsidRDefault="00000000">
      <w:r>
        <w:t>Furthermore, an assessment of the Board of directors is made by a firm of external expert advisors every three years.</w:t>
      </w:r>
    </w:p>
    <w:p w14:paraId="6DE7D403" w14:textId="77777777" w:rsidR="001870DC" w:rsidRDefault="00000000">
      <w:r>
        <w:t>In addition, on the advice of the Financial Statements Committee, the committee ensures that the amount and composition of the compensation of the Head of Inspection Générale are in line with his objectives and assessment with a view to proposing its approval by the Board of directors.</w:t>
      </w:r>
    </w:p>
    <w:p w14:paraId="71BD5AE4" w14:textId="77777777" w:rsidR="001870DC" w:rsidRDefault="00000000">
      <w:r>
        <w:t>Within the framework of the missions described above, the committee prepares the work of the Board of directors on the principles of the remuneration policies, in particular concerning Group staff whose professional activities have a material impact on the Groups risk profile, in accordance with the regulations in force.</w:t>
      </w:r>
    </w:p>
    <w:p w14:paraId="0854DAF0" w14:textId="77777777" w:rsidR="001870DC" w:rsidRDefault="00000000">
      <w:r>
        <w:t>It is tasked with studying all issues related to the personal status of the directors and corporate officers, and in particular the remuneration, the amount of retirement benefits and the allotment of subscription or purchase options to the Companys shares, as well as the provisions governing the departure of the members of the Companys management or representational bodies.</w:t>
      </w:r>
    </w:p>
    <w:p w14:paraId="3A5FD146" w14:textId="77777777" w:rsidR="001870DC" w:rsidRDefault="00000000">
      <w:r>
        <w:t>In accordance with the aforementioned provisions, this policy develops the following themes, This policy has been approved by the Board of directors.</w:t>
      </w:r>
    </w:p>
    <w:p w14:paraId="08EC4B17" w14:textId="77777777" w:rsidR="001870DC" w:rsidRDefault="00000000">
      <w:r>
        <w:t xml:space="preserve">Fit and Proper means the assessment conducted by BNP Paribas with regard to the collective suitability of the Board of directors and of other relevant persons with regard to </w:t>
      </w:r>
      <w:r>
        <w:lastRenderedPageBreak/>
        <w:t>the following criteria, Comply or Explain process means the procedure emanating from the Single Supervisory Mechanism through which the European Central Bank ECB and the competent national authorities notify their intention or otherwise of fully or partially complying with the guidelines issued by the EBA.</w:t>
      </w:r>
    </w:p>
    <w:p w14:paraId="6C0970F8" w14:textId="77777777" w:rsidR="001870DC" w:rsidRDefault="00000000">
      <w:r>
        <w:t>It further verifies that candidates are able to act in an objective, critical and independent manner, notably with regard to any other directorships held, that they have the courage necessary to express their thoughts and form an opinion, have sufficient availability to be fully committed to their duties, the necessary objectivity for their role and, lastly, the desire to protect the interests and ensure the effective functioning of the Company.</w:t>
      </w:r>
    </w:p>
    <w:p w14:paraId="413FBC1A" w14:textId="77777777" w:rsidR="001870DC" w:rsidRDefault="00000000">
      <w:r>
        <w:t>In order to identify the candidate, the CGEN shall analyse their candidature in the light of this policy and the following criteria, may engage one or more firms specialising in the identification of independent directors within the meaning of the Afep‑MEDEF Code, where such firms are to be selected by means of tender held in collaboration with the SCA.</w:t>
      </w:r>
    </w:p>
    <w:p w14:paraId="451FFB66" w14:textId="77777777" w:rsidR="001870DC" w:rsidRDefault="00000000">
      <w:r>
        <w:t>To this end, Members of the Management Body shall comply with legislative and regulatory provisions on conflicts of interest notably the regime covering so‑called related‑party agreements in addition to the following provisions on the measures to be implemented in order to record and manage conflicts of interest in an appropriate manner.</w:t>
      </w:r>
    </w:p>
    <w:p w14:paraId="76FC5C9B" w14:textId="77777777" w:rsidR="001870DC" w:rsidRDefault="00000000">
      <w:r>
        <w:t>The minutes of the Board of directors or specialised committee meeting shall record the measures applied.</w:t>
      </w:r>
    </w:p>
    <w:p w14:paraId="4A799D5F" w14:textId="77777777" w:rsidR="001870DC" w:rsidRDefault="00000000">
      <w:r>
        <w:t>The SCA shall then analyse the directorships declared by the candidate in order to ensure compliance with the number of directorships specified in CoMoFi.</w:t>
      </w:r>
    </w:p>
    <w:p w14:paraId="3697111E" w14:textId="77777777" w:rsidR="001870DC" w:rsidRDefault="00000000">
      <w:r>
        <w:t>Where the candidate agrees to implement the necessary measures prior to their appointment or co‑optation, the SCA shall record their willingness in a report to be submitted to the Board of directors for a decision on the proposed appointment or co‑optation.</w:t>
      </w:r>
    </w:p>
    <w:p w14:paraId="5C7869F0" w14:textId="77777777" w:rsidR="001870DC" w:rsidRDefault="00000000">
      <w:r>
        <w:t>The CGEN shall then ensure that the new directorship is compatible, notably with the rules on conflicts of interest set out above.</w:t>
      </w:r>
    </w:p>
    <w:p w14:paraId="12850551" w14:textId="77777777" w:rsidR="001870DC" w:rsidRDefault="00000000">
      <w:r>
        <w:t>Mindful of the need for collective competence, however, the Board of directors shall strive to ensure that directors offer complementary expertise.</w:t>
      </w:r>
    </w:p>
    <w:p w14:paraId="1429A1D6" w14:textId="77777777" w:rsidR="001870DC" w:rsidRDefault="00000000">
      <w:r>
        <w:t>With regard to diversity, the Board of directors has established guidelines based on qualitative and quantitative criteria covering the number of directors, gender balanced representation, international experience, diversity of nationalities, and age and seniority, in addition to the personal and collective qualities set out in this policy.</w:t>
      </w:r>
    </w:p>
    <w:p w14:paraId="1C324511" w14:textId="77777777" w:rsidR="001870DC" w:rsidRDefault="00000000">
      <w:r>
        <w:t>The objective of the guidelines set out below is to establish a theoretical composition of the Board of directors which, Candidates must in all cases be capable of working in a collaborative environment.</w:t>
      </w:r>
    </w:p>
    <w:p w14:paraId="4F906B1A" w14:textId="77777777" w:rsidR="001870DC" w:rsidRDefault="00000000">
      <w:r>
        <w:lastRenderedPageBreak/>
        <w:t>When selecting the profiles of potential candidates for the position of director, the policy specifies the obligations of gender balanced representation on the Board of directors in accordance with applicable legislative provisions.</w:t>
      </w:r>
    </w:p>
    <w:p w14:paraId="72699AAF" w14:textId="77777777" w:rsidR="001870DC" w:rsidRDefault="00000000">
      <w:r>
        <w:t>International experience and diversity of nationalities Given the international nature of the Companys activities, the Board of directors promotes the identification of candidates offering international experience acquired through functions performed outside France or through a directorship with a company established outside France, notably in the Groups main operational regions of Europe, the Americas and Asia‑Pacific.</w:t>
      </w:r>
    </w:p>
    <w:p w14:paraId="58602E66" w14:textId="77777777" w:rsidR="001870DC" w:rsidRDefault="00000000">
      <w:r>
        <w:t>The CGEN shall submit the results of its assessment to the Board of directors, including all proposals it may deem to be appropriate.</w:t>
      </w:r>
    </w:p>
    <w:p w14:paraId="7CE0DE6F" w14:textId="77777777" w:rsidR="001870DC" w:rsidRDefault="00000000">
      <w:r>
        <w:t>The Compliance Function ensures that these agreements do cover current operations and are concluded under normal conditions and prepares a report that it sends to the Secretary of the Board of directors.</w:t>
      </w:r>
    </w:p>
    <w:p w14:paraId="59C2514B" w14:textId="77777777" w:rsidR="001870DC" w:rsidRDefault="00000000">
      <w:r>
        <w:t>Agreements between BNP Paribas and legal entities other than asset management companies mentioned above, ■ This procedure is based on existing policies such as the Code of conduct or the Customer Interests Protection Policy and also provides, the declaration by the directors and corporate officers of the legal entities with which they are associated, ■ the verification by the Bank of any business relationships between each of these legal entities, ■ in‑depth monitoring of agreements identified using a risk‑based approach.</w:t>
      </w:r>
    </w:p>
    <w:p w14:paraId="0EB58596" w14:textId="77777777" w:rsidR="001870DC" w:rsidRDefault="00000000">
      <w:r>
        <w:t>When the Annual General Meeting does not approve these items, the Board of directors submits an amended compensation policy, taking into account the shareholders vote, for the approval of the next Annual General Meeting.</w:t>
      </w:r>
    </w:p>
    <w:p w14:paraId="64D28F13" w14:textId="77777777" w:rsidR="001870DC" w:rsidRDefault="00000000">
      <w:r>
        <w:t>The payment of directors compensation for the current year is suspended until the amended compensation policy is approved.</w:t>
      </w:r>
    </w:p>
    <w:p w14:paraId="7CC7C5F5" w14:textId="77777777" w:rsidR="001870DC" w:rsidRDefault="00000000">
      <w:r>
        <w:t>In this case, the Board of directors will submit for the approval of the next Annual General Meeting a draft resolution outlining an amended compensation policy, indicating how the shareholders vote was taken into account and, where appropriate, the opinions stated during the Annual General Meeting.</w:t>
      </w:r>
    </w:p>
    <w:p w14:paraId="17024417" w14:textId="77777777" w:rsidR="001870DC" w:rsidRDefault="00000000">
      <w:r>
        <w:t>The compensation policy for directors and corporate officers complies with applicable legislation and regulations, the Afep‑MEDEF Code and the BNP Paribas Code of conduct.</w:t>
      </w:r>
    </w:p>
    <w:p w14:paraId="4CFAD20A" w14:textId="77777777" w:rsidR="001870DC" w:rsidRDefault="00000000">
      <w:r>
        <w:t>This committee is made up of four independent members who have experience of compensation systems and market practices in this area and includes a director elected by employees.</w:t>
      </w:r>
    </w:p>
    <w:p w14:paraId="4D589F80" w14:textId="77777777" w:rsidR="001870DC" w:rsidRDefault="00000000">
      <w:r>
        <w:t>The compensation of corporate officers takes into account, in its principles, the following objectives, is aligned with the Companys corporate interest and contributes to the Companys commercial strategy and sustainability.</w:t>
      </w:r>
    </w:p>
    <w:p w14:paraId="5BEBD17B" w14:textId="77777777" w:rsidR="001870DC" w:rsidRDefault="00000000">
      <w:r>
        <w:lastRenderedPageBreak/>
        <w:t>Directors' compensation The compensation policy for directors is gender‑neutral.</w:t>
      </w:r>
    </w:p>
    <w:p w14:paraId="00D04FAD" w14:textId="77777777" w:rsidR="001870DC" w:rsidRDefault="00000000">
      <w:r>
        <w:t>Should a new Chairman be appointed, on the proposal of the Remuneration Committee and under this compensation policy, the Board of directors will set the amount of hisher fixed compensation in line with the new Chairmans profile and experience.</w:t>
      </w:r>
    </w:p>
    <w:p w14:paraId="528D5A37" w14:textId="77777777" w:rsidR="001870DC" w:rsidRDefault="00000000">
      <w:r>
        <w:t>The last increase in the fixed annual compensation of the Chief Executive Officer, effective from 1 January 2022, was decided by the Board of directors and approved by Annual General Meeting of 17 May 2022.</w:t>
      </w:r>
    </w:p>
    <w:p w14:paraId="13CADCEE" w14:textId="77777777" w:rsidR="001870DC" w:rsidRDefault="00000000">
      <w:r>
        <w:t>The last increase in the fixed annual compensation of the Chief Operating Officers, effective from 1 January 2024, was decided by the Board of directors and approved by Annual General Meeting of 14 May 2024.</w:t>
      </w:r>
    </w:p>
    <w:p w14:paraId="688A5972" w14:textId="77777777" w:rsidR="001870DC" w:rsidRDefault="00000000">
      <w:r>
        <w:t>The allocation of this portion of the annual variable compensation is based on multi‑criteria measurement resulting from a holistic approach of actions undertaken by the BNP Paribas Group with respect to social, societal, and environmental issues.</w:t>
      </w:r>
    </w:p>
    <w:p w14:paraId="1E965317" w14:textId="77777777" w:rsidR="001870DC" w:rsidRDefault="00000000">
      <w:r>
        <w:t>With this in mind, this compensation structure includes three weighted criteria, each at 5%, the CSR commitments made by the Group to contribute to a carbon neutral economy by 2050 and implement an ambitious social policy.</w:t>
      </w:r>
    </w:p>
    <w:p w14:paraId="07FE69AF" w14:textId="77777777" w:rsidR="001870DC" w:rsidRDefault="00000000">
      <w:r>
        <w:t>These objectives are based on the Groups four CSR pillars in terms of economic, social, civic and environmental responsibility and include, in particular, quantified climate objectives as part of the support for the Groups clients towards a low‑carbon economy and the reduction of the BNP Paribas Groups environmental footprint.</w:t>
      </w:r>
    </w:p>
    <w:p w14:paraId="46290743" w14:textId="77777777" w:rsidR="001870DC" w:rsidRDefault="00000000">
      <w:r>
        <w:t>Qualitative criteria The portion of the variable compensation linked to the Board of directors qualitative assessment is 10% of the target variable compensation.</w:t>
      </w:r>
    </w:p>
    <w:p w14:paraId="2F086105" w14:textId="77777777" w:rsidR="001870DC" w:rsidRDefault="00000000">
      <w:r>
        <w:t>In addition to the Banks strategy, which it must approve considering social and environmental issues, the Board of directors must also assess the performance of executive corporate officers based on their capacities for anticipation, decision‑making, leadership and exemplary behaviour as part of the 2025 strategic plan.</w:t>
      </w:r>
    </w:p>
    <w:p w14:paraId="6F7EC1D3" w14:textId="77777777" w:rsidR="001870DC" w:rsidRDefault="00000000">
      <w:r>
        <w:t>First half of the awarded amount, intrinsic share performance The first half of the awarded amount depends on the evolution of the share price given that no payment will be made for this first half of the awarded amount if the BNP Paribas share price does not increase by at least 5% from the date of the award by the Board of directors to the end of a five‑year period from the award date.</w:t>
      </w:r>
    </w:p>
    <w:p w14:paraId="6CDEA0A7" w14:textId="77777777" w:rsidR="001870DC" w:rsidRDefault="00000000">
      <w:r>
        <w:t>Nonetheless, in the event of retirement or death after the end of the first year of the plan, payments would be made provided that performance conditions are met and subject to assessment by the Board of directors.</w:t>
      </w:r>
    </w:p>
    <w:p w14:paraId="33C6212D" w14:textId="77777777" w:rsidR="001870DC" w:rsidRDefault="00000000">
      <w:r>
        <w:t>The Board of directors reserves the right to reduce awards under the LTIP, in particular in the event of non‑compliance with the above‑mentioned ceiling.</w:t>
      </w:r>
    </w:p>
    <w:p w14:paraId="52F39496" w14:textId="77777777" w:rsidR="001870DC" w:rsidRDefault="00000000">
      <w:r>
        <w:lastRenderedPageBreak/>
        <w:t>Compensation and benefits of the corporate officers Details relating to the annual variable compensation of executive corporate officers Assessment of the achievement of the targets set for 2024 At its meeting of 3 February 2025, the Board of directors assessed the achievement of the objectives set in accordance with the compensation policy.</w:t>
      </w:r>
    </w:p>
    <w:p w14:paraId="65982524" w14:textId="77777777" w:rsidR="001870DC" w:rsidRDefault="00000000">
      <w:r>
        <w:t>BNP Paribas has an ambitious policy in terms of energy transition, sustainable investment, social commitment and financial inclusion.</w:t>
      </w:r>
    </w:p>
    <w:p w14:paraId="18D5D070" w14:textId="77777777" w:rsidR="001870DC" w:rsidRDefault="00000000">
      <w:r>
        <w:t>On the alignment of portfolios towards the goal of a more sustainable economy, On enabling its clients to transition to a low‑carbon economy, On sustainable investment activities, On actions in favour of employees, On actions in favour of financial inclusion and civil society, publication of the Groups second climate report with CO emissions reduction targets by the end of 2030 for three new sectors of the loan portfolio, air transport, maritime transport and commercial real estate.</w:t>
      </w:r>
    </w:p>
    <w:p w14:paraId="5DAA23EA" w14:textId="77777777" w:rsidR="001870DC" w:rsidRDefault="00000000">
      <w:r>
        <w:t>In addition, a digital preventive health assessment will be gradually offered to the Groups employees, and long‑term illness support kits were rolled out in 2024 in several countries to support managers and employees.</w:t>
      </w:r>
    </w:p>
    <w:p w14:paraId="6330AFEE" w14:textId="77777777" w:rsidR="001870DC" w:rsidRDefault="00000000">
      <w:r>
        <w:t>Use of malus and claw‑back clauses The Board of directors has not been called upon to apply the malus and claw‑back clauses, provided for in the compensation policy defined above.</w:t>
      </w:r>
    </w:p>
    <w:p w14:paraId="5DDA3B30" w14:textId="77777777" w:rsidR="001870DC" w:rsidRDefault="00000000">
      <w:r>
        <w:t>They correspond to the multi‑criteria assessment of the actions taken by the Group with respect to social, societal and environmental issues.</w:t>
      </w:r>
    </w:p>
    <w:p w14:paraId="181D98B3" w14:textId="77777777" w:rsidR="001870DC" w:rsidRDefault="00000000">
      <w:r>
        <w:t>The last increase in the fixed compensation of Mr.</w:t>
      </w:r>
    </w:p>
    <w:p w14:paraId="4277D2F5" w14:textId="77777777" w:rsidR="001870DC" w:rsidRDefault="00000000">
      <w:r>
        <w:t>Yann GÉRARDIN, effective from 1 January 2024, was decided by the Board of directors and approved by Annual General Meeting of 14 May 2024.</w:t>
      </w:r>
    </w:p>
    <w:p w14:paraId="09E4E93C" w14:textId="77777777" w:rsidR="001870DC" w:rsidRDefault="00000000">
      <w:r>
        <w:t>They correspond to the multi‑criteria assessment of the actions taken by the Group with respect to social, societal and environmental issues.</w:t>
      </w:r>
    </w:p>
    <w:p w14:paraId="2DD44950" w14:textId="77777777" w:rsidR="001870DC" w:rsidRDefault="00000000">
      <w:r>
        <w:t>The last increase in the fixed compensation of Mr.</w:t>
      </w:r>
    </w:p>
    <w:p w14:paraId="440D437A" w14:textId="77777777" w:rsidR="001870DC" w:rsidRDefault="00000000">
      <w:r>
        <w:t>Thierry LABORDE, effective from 1 January 2024, was decided by the Board of directors and approved by Annual General Meeting of 14 May 2024.</w:t>
      </w:r>
    </w:p>
    <w:p w14:paraId="4BE268C0" w14:textId="77777777" w:rsidR="001870DC" w:rsidRDefault="00000000">
      <w:r>
        <w:t>They correspond to the multi‑criteria assessment of the actions taken by the Group with respect to social, societal and environmental issues.</w:t>
      </w:r>
    </w:p>
    <w:p w14:paraId="47D967E3" w14:textId="77777777" w:rsidR="001870DC" w:rsidRDefault="00000000">
      <w:r>
        <w:t>This resolution was not used during the period Shareholders Combined General Meeting of 16 May 2023 21 resolution Authorisation granted to the Board of directors to reduce the share capital by cancelling shares.</w:t>
      </w:r>
    </w:p>
    <w:p w14:paraId="7A735D02" w14:textId="77777777" w:rsidR="001870DC" w:rsidRDefault="00000000">
      <w:r>
        <w:t>This document is based on the information provided by the Compliance, RISK, Finance &amp; Strategy, LEGAL and Inspection Générale Functions.</w:t>
      </w:r>
    </w:p>
    <w:p w14:paraId="36C404FF" w14:textId="77777777" w:rsidR="001870DC" w:rsidRDefault="00000000">
      <w:r>
        <w:lastRenderedPageBreak/>
        <w:t>This Order requires BNP Paribas to have an internal control system hereinafter internal control comprising specific departments and persons responsible for permanent control including the Compliance and RISK Functions and periodic control.</w:t>
      </w:r>
    </w:p>
    <w:p w14:paraId="19007A70" w14:textId="77777777" w:rsidR="001870DC" w:rsidRDefault="00000000">
      <w:r>
        <w:t>The BNP Paribas Internal Control Charter specifies the framework of this system and constitutes BNP Paribas basic internal control framework.</w:t>
      </w:r>
    </w:p>
    <w:p w14:paraId="4265DF52" w14:textId="77777777" w:rsidR="001870DC" w:rsidRDefault="00000000">
      <w:r>
        <w:t>Widely distributed within the Group and accessible to all its employees, this charter firstly recalls the objectives of internal control, which aims to ensure, Its implementation requires, in particular, that a high‑level culture of risk and ethics be promoted to all employees and in BNP Paribas relations with third parties, clients, intermediaries or suppliers as well as its shareholders.</w:t>
      </w:r>
    </w:p>
    <w:p w14:paraId="59353550" w14:textId="77777777" w:rsidR="001870DC" w:rsidRDefault="00000000">
      <w:r>
        <w:t>The charter then sets out the rules governing the organisation responsibility and scope of operations of the various internal control entities and establishes the principle according to which the control functions Compliance, LEGAL, RISK and Inspection Générale in particular execute these controls independently.</w:t>
      </w:r>
    </w:p>
    <w:p w14:paraId="694B26CF" w14:textId="77777777" w:rsidR="001870DC" w:rsidRDefault="00000000">
      <w:r>
        <w:t>For other entities in particular, legal entities subject to significant influence, the Groups representatives on the corporate bodies of these entities are strongly encouraged to promote the same standards of internal control.</w:t>
      </w:r>
    </w:p>
    <w:p w14:paraId="031CD0DC" w14:textId="77777777" w:rsidR="001870DC" w:rsidRDefault="00000000">
      <w:r>
        <w:t>Permanent control is the ongoing implementation of the risk management system and is provided by the first two lines of defence.</w:t>
      </w:r>
    </w:p>
    <w:p w14:paraId="03852C7E" w14:textId="77777777" w:rsidR="001870DC" w:rsidRDefault="00000000">
      <w:r>
        <w:t>They report directly to the Executive Officers and with respect to Compliance, LEGAL, RISK and Inspection Générale, they report on the performance of their duties to the Board of directors.</w:t>
      </w:r>
    </w:p>
    <w:p w14:paraId="27088377" w14:textId="77777777" w:rsidR="001870DC" w:rsidRDefault="00000000">
      <w:r>
        <w:t>They act within the framework defined by the Groups Executive Officers and reviewed by its Board of directors, transcribed in the form of policies and procedures and to the extent necessary, tailored by the corporate bodies of the Groups entities.</w:t>
      </w:r>
    </w:p>
    <w:p w14:paraId="0CA844B8" w14:textId="77777777" w:rsidR="001870DC" w:rsidRDefault="00000000">
      <w:r>
        <w:t>It is implemented by employees andor their reporting line andor control teams that do not operate the processes under their control.</w:t>
      </w:r>
    </w:p>
    <w:p w14:paraId="2E610689" w14:textId="77777777" w:rsidR="001870DC" w:rsidRDefault="00000000">
      <w:r>
        <w:t>RISK, Compliance and Finance &amp; Strategy share responsibility for the second line of defence in terms of tax risk with the support of the Tax function, which acts as an expert on tax‑related issues.</w:t>
      </w:r>
    </w:p>
    <w:p w14:paraId="5B447861" w14:textId="77777777" w:rsidR="001870DC" w:rsidRDefault="00000000">
      <w:r>
        <w:t>The appointment of the Heads of the Compliance, Finance &amp; Strategy and RISK Functions falls within the framework defined by the European Banking Authority.</w:t>
      </w:r>
    </w:p>
    <w:p w14:paraId="6CCB0D6F" w14:textId="77777777" w:rsidR="001870DC" w:rsidRDefault="00000000">
      <w:r>
        <w:t>Finally, among the specialised committees, the Internal Control, Risk Management and Compliance Committee is essential in the Groups internal control system.</w:t>
      </w:r>
    </w:p>
    <w:p w14:paraId="44CF4041" w14:textId="77777777" w:rsidR="001870DC" w:rsidRDefault="00000000">
      <w:r>
        <w:lastRenderedPageBreak/>
        <w:t>In those entities and territories that are significant for the Group, their Executive Officers are responsible for arranging this coordination, generally within the framework of the Internal Control Committees.</w:t>
      </w:r>
    </w:p>
    <w:p w14:paraId="5DE0CADD" w14:textId="77777777" w:rsidR="001870DC" w:rsidRDefault="00000000">
      <w:r>
        <w:t>These procedures constitute the basic framework for internal control.</w:t>
      </w:r>
    </w:p>
    <w:p w14:paraId="13D3648B" w14:textId="77777777" w:rsidR="001870DC" w:rsidRDefault="00000000">
      <w:r>
        <w:t>At 31 December 2024, the Chief Executive Officer is the Executive Officer responsible for overseeing the consistency and effectiveness of BNP Paribas Groups internal control.</w:t>
      </w:r>
    </w:p>
    <w:p w14:paraId="2FC4DD52" w14:textId="77777777" w:rsidR="001870DC" w:rsidRDefault="00000000">
      <w:r>
        <w:t>Among others, the Board of directors, ■ determines, on the proposal of the Executive Officers, the strategy and guidelines of the internal control activity and ensures their implementation.</w:t>
      </w:r>
    </w:p>
    <w:p w14:paraId="2E6B6ECD" w14:textId="77777777" w:rsidR="001870DC" w:rsidRDefault="00000000">
      <w:r>
        <w:t>Compliance activity in 2024 Financial security The regulatory frameworks relating to Financial security continued to be strengthened in 2024.</w:t>
      </w:r>
    </w:p>
    <w:p w14:paraId="6A868A68" w14:textId="77777777" w:rsidR="001870DC" w:rsidRDefault="00000000">
      <w:r>
        <w:t>Professional ethics The system for overseeing employees' personal account dealing, private and professional mandates and gifts &amp; invitations continues to be strengthened with the update of the procedural body and the deployment of a shared IT tool allowing homogeneous risk management throughout the Group.</w:t>
      </w:r>
    </w:p>
    <w:p w14:paraId="4678B31D" w14:textId="77777777" w:rsidR="001870DC" w:rsidRDefault="00000000">
      <w:r>
        <w:t>The whistleblowing system is now based on a single tool that enables alerts to be collected on a secure external exchange platform and processed by referent employees, responsible for processing alerts, receive specific training.</w:t>
      </w:r>
    </w:p>
    <w:p w14:paraId="1F7C38A1" w14:textId="77777777" w:rsidR="001870DC" w:rsidRDefault="00000000">
      <w:r>
        <w:t>The reorganisation of the teams of experts has made it possible to improve their effectiveness in the main processes related to market integrity such as, the procedures that govern the process for approving exceptional transactions, new products and new business activities.</w:t>
      </w:r>
    </w:p>
    <w:p w14:paraId="7B952AD6" w14:textId="77777777" w:rsidR="001870DC" w:rsidRDefault="00000000">
      <w:r>
        <w:t>The associated compliance system has been consolidated and strengthened for all activities falling within the scope of these legal and regulatory provisions.</w:t>
      </w:r>
    </w:p>
    <w:p w14:paraId="24995658" w14:textId="77777777" w:rsidR="001870DC" w:rsidRDefault="00000000">
      <w:r>
        <w:t>In line with the initiatives launched in 2023, new actions aimed at strengthening the compliance framework for the Groups swap activities were carried out in 2024 to comply with the regulations of both the CFTC Commodity Futures Trading Commission and the SEC Securities and Exchange Commission.</w:t>
      </w:r>
    </w:p>
    <w:p w14:paraId="29923886" w14:textId="77777777" w:rsidR="001870DC" w:rsidRDefault="00000000">
      <w:r>
        <w:t>The compliance systems relating to these regulations have been in place since their entry into force, including procedures, an employee training programme and appropriate control plans.</w:t>
      </w:r>
    </w:p>
    <w:p w14:paraId="698F3C40" w14:textId="77777777" w:rsidR="001870DC" w:rsidRDefault="00000000">
      <w:r>
        <w:t>With regard to local tax regulations applicable to clients, a control framework was put in place in 2024, including a control plan enforceable by the first line of defence and an independent test plan implemented by the Compliance, RISK and Finance &amp; Strategy functions.</w:t>
      </w:r>
    </w:p>
    <w:p w14:paraId="37075FB5" w14:textId="77777777" w:rsidR="001870DC" w:rsidRDefault="00000000">
      <w:r>
        <w:lastRenderedPageBreak/>
        <w:t>In addition, the Group continued to consolidate its Conduct risk management and supervision framework.</w:t>
      </w:r>
    </w:p>
    <w:p w14:paraId="30EF7148" w14:textId="77777777" w:rsidR="001870DC" w:rsidRDefault="00000000">
      <w:r>
        <w:t>They relate to the use of the whistleblowing framework, alerts relating to respect for people, the monitoring of mandatory training and customer complaints related to the topics of Conduct.</w:t>
      </w:r>
    </w:p>
    <w:p w14:paraId="6CD9986B" w14:textId="77777777" w:rsidR="001870DC" w:rsidRDefault="00000000">
      <w:r>
        <w:t>ESG practice The Compliance Function is represented in the Groups main committees dealing with sustainable finance.</w:t>
      </w:r>
    </w:p>
    <w:p w14:paraId="72B922BA" w14:textId="77777777" w:rsidR="001870DC" w:rsidRDefault="00000000">
      <w:r>
        <w:t>Within this function, the ESG Practice has strengthened the governance of its system by creating a committee of international experts and a dedicated community.</w:t>
      </w:r>
    </w:p>
    <w:p w14:paraId="43761BF4" w14:textId="77777777" w:rsidR="001870DC" w:rsidRDefault="00000000">
      <w:r>
        <w:t>In collaboration with the RISK, LEGAL and Finance &amp; Strategy functions as well as with the Company Engagement Department, the ESG Compliance Practice belonging to Compliance Function has contributed to defining the roles and responsibilities of each of these functions with regard to ESG risk factors.</w:t>
      </w:r>
    </w:p>
    <w:p w14:paraId="251B2626" w14:textId="77777777" w:rsidR="001870DC" w:rsidRDefault="00000000">
      <w:r>
        <w:t>At all levels of the Group, the LEGAL organisation enables adequate coverage of legal risks, and includes, LEGAL activity in 2024 Throughout the year, LEGAL continued to improve the legal risk management system.</w:t>
      </w:r>
    </w:p>
    <w:p w14:paraId="1D9356B9" w14:textId="77777777" w:rsidR="001870DC" w:rsidRDefault="00000000">
      <w:r>
        <w:t>In the field of sustainable development, one of the three pillars of the GTS plan, LEGAL has actively contributed to raising the awareness of the management and operational teams of the divisions, business lines and functions on the legal issues in terms of sustainable finance and ESG.</w:t>
      </w:r>
    </w:p>
    <w:p w14:paraId="3872C5A8" w14:textId="77777777" w:rsidR="001870DC" w:rsidRDefault="00000000">
      <w:r>
        <w:t>In addition to its regular communications and the organisation of forums, it offers a training course dedicated to LEGAL employees built with LEGAL Human Resources the LEGAL Sustainability Academy Sustainability Academy@LEGAL, in connection with that of the Group in line with the Group human Resources.</w:t>
      </w:r>
    </w:p>
    <w:p w14:paraId="26159EB1" w14:textId="4407CE99" w:rsidR="001870DC" w:rsidRDefault="00000000">
      <w:r>
        <w:t>Lastly, LEGAL continued to roll out and implement the legal risk management system by, the creation of a joint venture with the RISK Function to form a joint team around artificial intelligence</w:t>
      </w:r>
      <w:r w:rsidR="00283BA8">
        <w:t xml:space="preserve">, </w:t>
      </w:r>
      <w:r>
        <w:t>robotic process automation and, more broadly, analytics and innovation.</w:t>
      </w:r>
    </w:p>
    <w:p w14:paraId="2675ABEB" w14:textId="77777777" w:rsidR="001870DC" w:rsidRDefault="00000000">
      <w:r>
        <w:t>This involved further integrating the existing management and governance practices of the RISK Function.</w:t>
      </w:r>
    </w:p>
    <w:p w14:paraId="0B511204" w14:textId="77777777" w:rsidR="001870DC" w:rsidRDefault="00000000">
      <w:r>
        <w:t>All these actions aim to achieve a consistent approach within the Group, to reduce risks and vulnerabilities, by strengthening oversight and control.</w:t>
      </w:r>
    </w:p>
    <w:p w14:paraId="402CED68" w14:textId="77777777" w:rsidR="001870DC" w:rsidRDefault="00000000">
      <w:r>
        <w:t>Thus, These changes did not impact the implementation of the initial audit plan of 835 missions.</w:t>
      </w:r>
    </w:p>
    <w:p w14:paraId="169C9356" w14:textId="77777777" w:rsidR="001870DC" w:rsidRDefault="00000000">
      <w:r>
        <w:t xml:space="preserve">These evolutions have been accompanied by several employee‑centric projects, assess customer performance and identify any negative impacts on the three areas of the </w:t>
      </w:r>
      <w:r>
        <w:lastRenderedPageBreak/>
        <w:t>ESG‑Assessment environment, social and governance, which could result in credit and reputation risks.</w:t>
      </w:r>
    </w:p>
    <w:p w14:paraId="0FCD1AF1" w14:textId="77777777" w:rsidR="001870DC" w:rsidRDefault="00000000">
      <w:r>
        <w:t>Additional information on climate change risk management can be found in the Sustainability statement in chapter 7 of this Universal registration document.</w:t>
      </w:r>
    </w:p>
    <w:p w14:paraId="4A8F5B14" w14:textId="77777777" w:rsidR="001870DC" w:rsidRDefault="00000000">
      <w:r>
        <w:t>When an AU falls under a specific regulatory audit cycle, the applicable pace is the shorter of the regulatory obligation and the frequency resulting from the risk assessment.</w:t>
      </w:r>
    </w:p>
    <w:p w14:paraId="78A5EBB3" w14:textId="77777777" w:rsidR="001870DC" w:rsidRDefault="00000000">
      <w:r>
        <w:t>The new tools now allow the simultaneous audit of similar AUs by auditors of the hubs and General Inspection In addition to improving efficiency, this approach increases the added value of the missions for both auditees and auditors.</w:t>
      </w:r>
    </w:p>
    <w:p w14:paraId="10501F47" w14:textId="77777777" w:rsidR="001870DC" w:rsidRDefault="00000000">
      <w:r>
        <w:t>Particular attention is paid to compliance, quality and integrity of the information used and personal data protection.</w:t>
      </w:r>
    </w:p>
    <w:p w14:paraId="6CCC93D3" w14:textId="77777777" w:rsidR="001870DC" w:rsidRDefault="00000000">
      <w:r>
        <w:t>The missions of the function are carried out in conjunction with the RISK and ALM Treasury Functions for regulatory requirements, with the Project Management team for Finance &amp; Strategy and RISK, housed within Group IT, with regard to user processes and the changes to the information system.</w:t>
      </w:r>
    </w:p>
    <w:p w14:paraId="7F4FE5DB" w14:textId="77777777" w:rsidR="001870DC" w:rsidRDefault="00000000">
      <w:r>
        <w:t>The regulatory liquidity framework is the responsibility of ALM Treasury with the contribution of the Finance &amp; Strategy and RISK Functions.</w:t>
      </w:r>
    </w:p>
    <w:p w14:paraId="37320B74" w14:textId="77777777" w:rsidR="001870DC" w:rsidRDefault="00000000">
      <w:r>
        <w:t>Lastly, within the entitiesbusiness lines Finance Departments, the Groups accounting internal control principles have led to set up dedicated and independent second‑level accounting control teams or representatives, depending on the size of the entities.</w:t>
      </w:r>
    </w:p>
    <w:p w14:paraId="15EE3596" w14:textId="77777777" w:rsidR="001870DC" w:rsidRDefault="00000000">
      <w:r>
        <w:t>Organised around shared and multi‑business regional platforms, it combines expertise and industrialisation for all financial reporting flows financial statements, regulatory, management, solvency, liquidity, taxes and sustainability, at Group or local level.</w:t>
      </w:r>
    </w:p>
    <w:p w14:paraId="6E8A8A2A" w14:textId="77777777" w:rsidR="001870DC" w:rsidRDefault="00000000">
      <w:r>
        <w:t>This system requires accounting entities to follow rules in organising their accounting internal control environments and to implement key controls ensuring that the information in their consolidation packages is reliable.</w:t>
      </w:r>
    </w:p>
    <w:p w14:paraId="53E362D2" w14:textId="77777777" w:rsidR="001870DC" w:rsidRDefault="00000000">
      <w:r>
        <w:t>This framework also includes a strong governance articulated through committees called FORCC through which all the permanent control processes of the Finance operating business units are reviewed.</w:t>
      </w:r>
    </w:p>
    <w:p w14:paraId="5552EBFA" w14:textId="77777777" w:rsidR="001870DC" w:rsidRDefault="00000000">
      <w:r>
        <w:t>This internal certification process forms part of the Groups monitoring for Internal control and enables Finance &amp; Strategy Group, which has the overall responsibility for the preparation and quality of the Groups consolidated financial statements, to be informed of any problems in the financial statements and to monitor the entities implementation of appropriate corrective measures.</w:t>
      </w:r>
    </w:p>
    <w:p w14:paraId="6933BFEB" w14:textId="77777777" w:rsidR="001870DC" w:rsidRDefault="00000000">
      <w:r>
        <w:lastRenderedPageBreak/>
        <w:t>This certification framework is also in place for the information included in regulatory reporting on credit risk and the capital adequacy ratio.</w:t>
      </w:r>
    </w:p>
    <w:p w14:paraId="01567C02" w14:textId="77777777" w:rsidR="001870DC" w:rsidRDefault="00000000">
      <w:r>
        <w:t>Within this framework, the various contributors report on the compliance of the data transmitted with the standards, and the results of key controls performed to ensure the quality of reporting.</w:t>
      </w:r>
    </w:p>
    <w:p w14:paraId="6DDFFFD6" w14:textId="77777777" w:rsidR="001870DC" w:rsidRDefault="00000000">
      <w:r>
        <w:t>At entity level In order to ensure the oversight of all the process of preparation of accounting information at the level of each entitys Finance Department, the permanent control procedures of Finance &amp; Strategy Group, developed by Group Financial Controls require the implementation of first‑level procedures relating to accounting data or controls when the process of preparing the accounting information is operated or controlled in a decentralised way.</w:t>
      </w:r>
    </w:p>
    <w:p w14:paraId="4566ADE7" w14:textId="77777777" w:rsidR="001870DC" w:rsidRDefault="00000000">
      <w:r>
        <w:t>It can thus provide the appropriate data to the various decision‑making bodies, and the use of these elements in the operational processes for compiling the accounting and management results, and ensures the transparency of appendices dedicated to fair value.</w:t>
      </w:r>
    </w:p>
    <w:p w14:paraId="0F2A5136" w14:textId="77777777" w:rsidR="001870DC" w:rsidRDefault="00000000">
      <w:r>
        <w:t>Control of the valuation channel, which involves all participants, is supervised by the Finance &amp; Strategy Function within the framework of a specific charter and a dedicated governance.</w:t>
      </w:r>
    </w:p>
    <w:p w14:paraId="657A335F" w14:textId="77777777" w:rsidR="001870DC" w:rsidRDefault="00000000">
      <w:r>
        <w:t>To ensure its proper functioning, the Finance &amp; Strategy Function relies on dedicated teams Standards &amp; Controls Valuation Risk and Governance, S&amp;C VRG, which oversee the entire system.</w:t>
      </w:r>
    </w:p>
    <w:p w14:paraId="1C11AA8A" w14:textId="77777777" w:rsidR="001870DC" w:rsidRDefault="00000000">
      <w:r>
        <w:t>Instruments measured at fair value through profit or loss or through equity outside the trading portfolio Fixed income securities, derivatives and debt measured at fair value through profit or loss or through equity Most of the instruments relating to this scope are covered by the framework in place for the trading portfolio, thanks to an adapted extension of the governance as well as the pooling of systems, processes and valuation methodologies.</w:t>
      </w:r>
    </w:p>
    <w:p w14:paraId="6CC8409A" w14:textId="77777777" w:rsidR="001870DC" w:rsidRDefault="00000000">
      <w:r>
        <w:t>Equity securities measured at fair value through profit or loss or through equity Since 2020, Group Financial Policies has developed a specific valuation standard, and the valuation governance framework has been standardised to ensure homogeneous coverage of this portfolio and an appropriate allocation of responsibilities and decision‑making chains.</w:t>
      </w:r>
    </w:p>
    <w:p w14:paraId="5963574B" w14:textId="77777777" w:rsidR="001870DC" w:rsidRDefault="00000000">
      <w:r>
        <w:t>These reviews are supplemented by presentations to the various committees in the Finance &amp; Strategy channel and training sessions.</w:t>
      </w:r>
    </w:p>
    <w:p w14:paraId="5318C21E" w14:textId="77777777" w:rsidR="001870DC" w:rsidRDefault="00000000">
      <w:r>
        <w:t xml:space="preserve">The sustainability information control framework The deployment of an internal control framework specific to sustainability information is mainly based on, Data control framework As in previous years, the Group continued to adapt its framework in 2024 to continue to improve the quality and integrity of the data required to produce the reports covering the different types of main risks to which BNP Paribas is exposed risk related to the accounting and financial information, credit, marketcounterparty, liquidity and </w:t>
      </w:r>
      <w:r>
        <w:lastRenderedPageBreak/>
        <w:t>operational risks, and to improve the consistency of related reporting at the different levels of the organisation during normal periods as well as during stress or crisis periods.</w:t>
      </w:r>
    </w:p>
    <w:p w14:paraId="77DBEBFC" w14:textId="77777777" w:rsidR="001870DC" w:rsidRDefault="00000000">
      <w:r>
        <w:t>This continuous adaptation of the system is part of the regulatory framework of the principles set by the Basel Committee for the aggregation of risk data and their reporting Principles for effective risk data aggregation and risk reporting Basel Committee on Banking Supervision Standard 239 and aims at ensuring the Groups compliance with these principles.</w:t>
      </w:r>
    </w:p>
    <w:p w14:paraId="4AF922C0" w14:textId="77777777" w:rsidR="001870DC" w:rsidRDefault="00000000">
      <w:r>
        <w:t>Thus, as part of their statutory mission, The Statutory Auditors are also responsible for certifying sustainability information on the basis of limited assurance.</w:t>
      </w:r>
    </w:p>
    <w:p w14:paraId="52B6F17F" w14:textId="77777777" w:rsidR="001870DC" w:rsidRDefault="00000000">
      <w:r>
        <w:t>It is directed at retail and institutional shareholders, financial analysts and rating agencies, and presents the Groups different activities, explains its results and describes its development strategy, while maintaining the financial information homogeneous with that used at an internal level.</w:t>
      </w:r>
    </w:p>
    <w:p w14:paraId="4F5B757E" w14:textId="77777777" w:rsidR="001870DC" w:rsidRDefault="00000000">
      <w:r>
        <w:t>In an organised, sustainable, and determined manner, the Group has placed sustainable development at the heart of its strategy and is supporting its customers on a daily basis in their transition by offering them products and services adapted to their needs.</w:t>
      </w:r>
    </w:p>
    <w:p w14:paraId="02B7533F" w14:textId="77777777" w:rsidR="001870DC" w:rsidRDefault="00000000">
      <w:r>
        <w:t>This amount includes loans and bonds contributing to the low‑carbon transition as well as financial support provided in some cases in the form of private placements, financial advice or initial public offerings IPOs.</w:t>
      </w:r>
    </w:p>
    <w:p w14:paraId="4E013DA6" w14:textId="77777777" w:rsidR="001870DC" w:rsidRDefault="00000000">
      <w:r>
        <w:t>This commitment benefited all the Groups customers, for example in the areas of housing renovation and sustainable mobility for individual clients, renewable energy and the decarbonisation of production processes for companies of all sizes, the financing of institutional clients or the investment in startups developing innovative solutions to support the transition.</w:t>
      </w:r>
    </w:p>
    <w:p w14:paraId="20A6F821" w14:textId="77777777" w:rsidR="001870DC" w:rsidRDefault="00000000">
      <w:r>
        <w:t>Through several emblematic 2024 achievements, this presentation aims at illustrating how BNP Paribas implements its sustainable development strategy every day in all its business lines, serving the energy and ecological transition of all its clients, individuals and companies, in the various sectors of the economy.</w:t>
      </w:r>
    </w:p>
    <w:p w14:paraId="4089C6E8" w14:textId="77777777" w:rsidR="001870DC" w:rsidRDefault="00000000">
      <w:r>
        <w:t>Committing to working alongside all its clients in the transition to a sustainable and low‑carbon economy, leveraging all the Groups business lines and expertise BNP Paribas strategy and achievements establish the Group as a key player in the financing of the energy and ecological transition.</w:t>
      </w:r>
    </w:p>
    <w:p w14:paraId="00A07F9D" w14:textId="77777777" w:rsidR="001870DC" w:rsidRDefault="00000000">
      <w:r>
        <w:t>This commitment translates into decarbonisation targets for nine economic sectors in its credit portfolio, that together account for the vast majority of global GHG emissions.</w:t>
      </w:r>
    </w:p>
    <w:p w14:paraId="284C4888" w14:textId="77777777" w:rsidR="001870DC" w:rsidRDefault="00000000">
      <w:r>
        <w:t xml:space="preserve">The asset manager BNP Paribas Asset Management and the insurer BNP Paribas Cardif have also set decarbonisation targets for their investment portfolios and are engaging with the </w:t>
      </w:r>
      <w:r>
        <w:lastRenderedPageBreak/>
        <w:t>companies in which they invest through the exercise of their voting rights and shareholder dialogue.</w:t>
      </w:r>
    </w:p>
    <w:p w14:paraId="1187607A" w14:textId="77777777" w:rsidR="001870DC" w:rsidRDefault="00000000">
      <w:r>
        <w:t>Strengthening the expertise and the systems supporting the transition, thanks to monitoring tools and dedicated training To implement its CSR strategy and support its clients transition, BNP Paribas is adapting its internal organisation.</w:t>
      </w:r>
    </w:p>
    <w:p w14:paraId="118CE9D9" w14:textId="77777777" w:rsidR="001870DC" w:rsidRDefault="00000000">
      <w:r>
        <w:t>This translates into the roll‑out of dedicated processes and monitoring tools, as well as the strengthening of its employees training offer.</w:t>
      </w:r>
    </w:p>
    <w:p w14:paraId="65F3EA88" w14:textId="77777777" w:rsidR="001870DC" w:rsidRDefault="00000000">
      <w:r>
        <w:t>In addition, with nearly 133,000 employees trained since its launch at the end of 2022, and more than 77,000 in 2024 alone, the Sustainability Academy platform embodies the Groups ambition to equip all its employees with the knowledge and skills necessary to achieve its objectives in terms of sustainable development and finance.</w:t>
      </w:r>
    </w:p>
    <w:p w14:paraId="59794A8B" w14:textId="77777777" w:rsidR="001870DC" w:rsidRDefault="00000000">
      <w:r>
        <w:t>The European housing stock is responsible for 40% of the EUs total energy consumption and 36% of its GHG emissions in Europe.</w:t>
      </w:r>
    </w:p>
    <w:p w14:paraId="1D2DA4A5" w14:textId="77777777" w:rsidR="001870DC" w:rsidRDefault="00000000">
      <w:r>
        <w:t>Promoting a more sustainable mobility The electrification of individual vehicles and corporate fleets, the development of soft mobility and vehicle‑sharing solutions are prompt and effective solutions to reduce GHG emissions, while maintaining a robust industry and significant travel capacities.</w:t>
      </w:r>
    </w:p>
    <w:p w14:paraId="7B1201DD" w14:textId="77777777" w:rsidR="001870DC" w:rsidRDefault="00000000">
      <w:r>
        <w:t>Created at the end of 2022, the initiative and associated‑brand BNP Paribas Mobility bring together all the Groups business lines involved in the mobility ecosystem to support individual customers in their mobility needs with a wide range of offers, In France, the platform Mobility4you is tailored to each mobility project, based on the customers travel needs, budget and environmental impact.</w:t>
      </w:r>
    </w:p>
    <w:p w14:paraId="7CDE76C3" w14:textId="77777777" w:rsidR="001870DC" w:rsidRDefault="00000000">
      <w:r>
        <w:t>Finally, BNP Paribas Asset Management has launched the BNP Paribas Global Equity Net Zero Transition fund, article 8 according to SFDR, which is one of the few equity funds active on the market with the net zero emissions alignment as main its objective and also including a just transition dimension.</w:t>
      </w:r>
    </w:p>
    <w:p w14:paraId="7D7F243A" w14:textId="266423D4" w:rsidR="001870DC" w:rsidRDefault="00000000">
      <w:r>
        <w:t>Since 2021, with the creation of the Low‑Carbon Transition Group</w:t>
      </w:r>
      <w:r w:rsidR="00283BA8">
        <w:t xml:space="preserve">, </w:t>
      </w:r>
      <w:r>
        <w:t>the Group has developed a global platform bringing together a network of around 250 specialised bankers who support international corporates and institutional clients in accelerating their transition to a sustainable and low‑carbon economy.</w:t>
      </w:r>
    </w:p>
    <w:p w14:paraId="119DBBFC" w14:textId="77777777" w:rsidR="001870DC" w:rsidRDefault="00000000">
      <w:r>
        <w:t>In addition to renewable energies and nuclear power, BNP Paribas is developing specific expertise to support the development of new value chains such as batteries, green hydrogen and low‑carbon fuels, as well as CO capture.</w:t>
      </w:r>
    </w:p>
    <w:p w14:paraId="6B417036" w14:textId="77777777" w:rsidR="001870DC" w:rsidRDefault="00000000">
      <w:r>
        <w:t>This platform offers specific support for the transition of the agricultural and agri‑food sectors by relying on a pan‑European community of experts.</w:t>
      </w:r>
    </w:p>
    <w:p w14:paraId="487AB443" w14:textId="77777777" w:rsidR="001870DC" w:rsidRDefault="00000000">
      <w:r>
        <w:lastRenderedPageBreak/>
        <w:t>Serving sovereign, supranational and agency issuers In 2024, BNP Paribas participated in the record EUR 750 million inaugural green bond of the Republic of Iceland to finance the countrys carbon neutrality initiatives, investments in infrastructure for electric bikes, the energy transition of vehicles and infrastructure, green buildings, and adaptation to the circular economy.</w:t>
      </w:r>
    </w:p>
    <w:p w14:paraId="266256B8" w14:textId="77777777" w:rsidR="001870DC" w:rsidRDefault="00000000">
      <w:r>
        <w:t>This USD 750 million bond aims to finance environmental and social projects across Africa, including renewable energy generation, sustainable management of natural resources, access to basic infrastructure and food security.</w:t>
      </w:r>
    </w:p>
    <w:p w14:paraId="25A5854C" w14:textId="39EF5BFA" w:rsidR="001870DC" w:rsidRDefault="00000000">
      <w:r>
        <w:t>We can address it if we collectively take the necessary steps to support the just transition by putting people at the heart of climate action</w:t>
      </w:r>
      <w:r w:rsidR="00283BA8">
        <w:t>.</w:t>
      </w:r>
    </w:p>
    <w:p w14:paraId="59F76DC7" w14:textId="77777777" w:rsidR="001870DC" w:rsidRDefault="00000000">
      <w:r>
        <w:t>Governments, businesses and other stakeholders must collectively ensure that no one is left behind.</w:t>
      </w:r>
    </w:p>
    <w:p w14:paraId="043B5BD7" w14:textId="77777777" w:rsidR="001870DC" w:rsidRDefault="00000000">
      <w:r>
        <w:t>Finally, BNP Paribas Asset Managements Climate Impact Infrastructure Debt fund, classified article 9 according to SFDR, offers a financing solution to projects and players involved in the energy transition in continental Europe, focusing on renewable energy, green mobility, circular economy, and energy efficiency.</w:t>
      </w:r>
    </w:p>
    <w:p w14:paraId="743EF3D6" w14:textId="77777777" w:rsidR="001870DC" w:rsidRDefault="00000000">
      <w:r>
        <w:t>Accelerating the decarbonisation of the economy and promoting the responsible use of resources BNP Paribas is committed to aligning its activities with trajectories compatible with carbon neutrality by 2050.</w:t>
      </w:r>
    </w:p>
    <w:p w14:paraId="2E1D4371" w14:textId="77777777" w:rsidR="001870DC" w:rsidRDefault="00000000">
      <w:r>
        <w:t>On its credit portfolio, the Group has set alignment objectives in nine of the most carbon‑intensive sectors of the economy, in terms of emissions intensity for eight sectors and in absolute emissions for the oil and gas sector.</w:t>
      </w:r>
    </w:p>
    <w:p w14:paraId="33B112B4" w14:textId="77777777" w:rsidR="001870DC" w:rsidRDefault="00000000">
      <w:r>
        <w:t>The interest rate will depend on the achievement of defined targets, including the Scope 1 emissions intensity related to power generation and the proportion of Capex aligned with the European taxonomy.</w:t>
      </w:r>
    </w:p>
    <w:p w14:paraId="2B275643" w14:textId="77777777" w:rsidR="001870DC" w:rsidRDefault="00000000">
      <w:r>
        <w:t>The energy efficiency of the new aircrafts will contribute to the airlines emissions reduction targets.</w:t>
      </w:r>
    </w:p>
    <w:p w14:paraId="1F251E23" w14:textId="77777777" w:rsidR="001870DC" w:rsidRDefault="00000000">
      <w:r>
        <w:t>Since its launch in 2022, the fund has already invested in five companies that are driving sustainable innovations, In conclusion, BNP Paribas has demonstrated its commitment to a sustainable and low‑carbon economy over time by integrating sustainable development at the heart of its strategy.</w:t>
      </w:r>
    </w:p>
    <w:p w14:paraId="6E01D75D" w14:textId="77777777" w:rsidR="001870DC" w:rsidRDefault="00000000">
      <w:r>
        <w:t>Through the financing of renewable energy projects, the promotion of sustainable mobility and the support of individuals and companies in their decarbonisation efforts, BNP Paribas is positioning itself as a key player in the energy and ecological transition.</w:t>
      </w:r>
    </w:p>
    <w:p w14:paraId="57B002E5" w14:textId="77777777" w:rsidR="001870DC" w:rsidRDefault="00000000">
      <w:r>
        <w:lastRenderedPageBreak/>
        <w:t>This EUR 1 billion green bond will fund projects to develop low‑carbon public transport in the Île‑de‑France region France, such as the renewal of electric rolling stock trains, metros, trams and the deployment of low‑emission buses and electric bicycles fleets.</w:t>
      </w:r>
    </w:p>
    <w:p w14:paraId="166BEBA1" w14:textId="4A06FE37" w:rsidR="001870DC" w:rsidRDefault="00000000">
      <w:r>
        <w:t>Beyond that, its strong acceleration will be driven by the integration of external growth developments, AXA IM project</w:t>
      </w:r>
      <w:r w:rsidR="00283BA8">
        <w:t xml:space="preserve">, </w:t>
      </w:r>
      <w:r>
        <w:t>Wealth Management and Life Insurance.</w:t>
      </w:r>
    </w:p>
    <w:p w14:paraId="453B2A33" w14:textId="77777777" w:rsidR="001870DC" w:rsidRDefault="00000000">
      <w:r>
        <w:t>Income and expenses from commissions and other activities Commissions received with regards to banking and similar services provided except for those that are integral part of the effective interest rate, revenues from property development and revenues from services provided in connection with lease contracts fall within the scope of IFRS 15 Revenue from Contracts with Customers.</w:t>
      </w:r>
    </w:p>
    <w:p w14:paraId="09CEAE89" w14:textId="77777777" w:rsidR="001870DC" w:rsidRDefault="00000000">
      <w:r>
        <w:t>Sales imposed by regulatory requirements or to manage the concentration of credit risk without an increase in the assets credit risk are also consistent with this business model when they are infrequent or insignificant in value.</w:t>
      </w:r>
    </w:p>
    <w:p w14:paraId="590A8699" w14:textId="77777777" w:rsidR="001870DC" w:rsidRDefault="00000000">
      <w:r>
        <w:t>Clauses included in financing granted to encourage the sustainable development of companies which adjust the interest margin depending on the achievement of environmental, social or governance objectives and disclosed in chapter 7 of the Universal registration document, do not call into question the cash flow criterion when such an adjustment is considered to be minimal.</w:t>
      </w:r>
    </w:p>
    <w:p w14:paraId="03DA8AB4" w14:textId="77777777" w:rsidR="001870DC" w:rsidRDefault="00000000">
      <w:r>
        <w:t>This section describes how Environmental, social and governance risks are taken into account in credit and rating policies, notably with the introduction of a new tool, the ESG Assessment.</w:t>
      </w:r>
    </w:p>
    <w:p w14:paraId="7207DD2D" w14:textId="77777777" w:rsidR="001870DC" w:rsidRDefault="00000000">
      <w:r>
        <w:t>Accordingly, the Group retains this portfolio‑based measurement exception to determine the fair value when some group of financial assets and financial liabilities and other contracts within the scope of the standard relating to financial instruments with substantially similar and offsetting market risks or credit risks is managed on the basis of a net exposure, in accordance with the documented risk management strategy.</w:t>
      </w:r>
    </w:p>
    <w:p w14:paraId="32BCF39F" w14:textId="77777777" w:rsidR="001870DC" w:rsidRDefault="00000000">
      <w:r>
        <w:t>Measurement model for contracts with direct participation features Variable Fee Approach VFA Characteristics Direct participating contracts are insurance or investment contracts for which, Compliance with these conditions is monitored on the underwriting date and is not reviewed later.</w:t>
      </w:r>
    </w:p>
    <w:p w14:paraId="15DAE05F" w14:textId="77777777" w:rsidR="001870DC" w:rsidRDefault="00000000">
      <w:r>
        <w:t>This applies in particular to the assessment of significant increase in credit risk, the models and assumptions used to measure expected credit losses, including those relating to climate risks, the determination of the different economic scenarios and their weighting.</w:t>
      </w:r>
    </w:p>
    <w:p w14:paraId="08DE6C8A" w14:textId="77777777" w:rsidR="001870DC" w:rsidRDefault="00000000">
      <w:r>
        <w:t>Starting in 2024, this approach is also used to complete the prospective assessment of the potential consequences of climate change transition and physical risks on the credit risk of corporate counterparties and mortgages.</w:t>
      </w:r>
    </w:p>
    <w:p w14:paraId="57F69D4F" w14:textId="77777777" w:rsidR="001870DC" w:rsidRDefault="00000000">
      <w:r>
        <w:lastRenderedPageBreak/>
        <w:t>Mid‑market value is a theoretical additive value which does not take account of i the direction of the transaction or its impact on the existing risks in the portfolio, ii the nature of the counterparties, and iii the aversion of a market participant to particular risks inherent in the instrument, the market in which it is traded, or the risk management strategy.</w:t>
      </w:r>
    </w:p>
    <w:p w14:paraId="2AFDBBDD" w14:textId="77777777" w:rsidR="001870DC" w:rsidRDefault="00000000">
      <w:r>
        <w:t>The model attempts to estimate the cost of an optimal risk management strategy based on i implicit incentives and constraints inherent in the regulations in force and their evolutions, ii market perception of the probability of default, and iii default parameters used for regulatory purposes.</w:t>
      </w:r>
    </w:p>
    <w:p w14:paraId="631CD0CB" w14:textId="77777777" w:rsidR="001870DC" w:rsidRDefault="00000000">
      <w:r>
        <w:t>The Group has developed and implemented a risk management framework designed to identify, assess, control and monitor risks related to its various activities.</w:t>
      </w:r>
    </w:p>
    <w:p w14:paraId="6382EED6" w14:textId="77777777" w:rsidR="001870DC" w:rsidRDefault="00000000">
      <w:r>
        <w:t>Its objective is to guarantee the solvency, business continuity and development of the BNP Paribas Groups insurance activities under satisfactory risk and profitability conditions.</w:t>
      </w:r>
    </w:p>
    <w:p w14:paraId="31116195" w14:textId="77777777" w:rsidR="001870DC" w:rsidRDefault="00000000">
      <w:r>
        <w:t>Framework for managing underwriting risk The underwriting risk monitoring and management framework is based on documented governance and processes.</w:t>
      </w:r>
    </w:p>
    <w:p w14:paraId="02D962CE" w14:textId="77777777" w:rsidR="001870DC" w:rsidRDefault="00000000">
      <w:r>
        <w:t>Contractual clauses allow underwriting risk to be managed in accordance with regulatory and commercial frameworks through technical and legal measures, such as tariff revision clauses provided for in the contract in the event of changes in taxation or risk of adverse development in loss experience, and the limitation of the duration of some guarantees.</w:t>
      </w:r>
    </w:p>
    <w:p w14:paraId="68B02BDC" w14:textId="77777777" w:rsidR="001870DC" w:rsidRDefault="00000000">
      <w:r>
        <w:t>Partners are interested in the quality of the risks of the contracts they bring so as to encourage the compliance with good underwriting practices defined by the Group.</w:t>
      </w:r>
    </w:p>
    <w:p w14:paraId="498F8B83" w14:textId="77777777" w:rsidR="001870DC" w:rsidRDefault="00000000">
      <w:r>
        <w:t>Ceded reinsurance is a complementary element of the underwriting risk management framework.</w:t>
      </w:r>
    </w:p>
    <w:p w14:paraId="22E80359" w14:textId="77777777" w:rsidR="001870DC" w:rsidRDefault="00000000">
      <w:r>
        <w:t>Counterparty risk management on reinsurers is achieved through rigorous selection of reinsurers, negotiation of collateral provided and regular monitoring of major exposures.</w:t>
      </w:r>
    </w:p>
    <w:p w14:paraId="39D5303E" w14:textId="77777777" w:rsidR="001870DC" w:rsidRDefault="00000000">
      <w:r>
        <w:t>As part of the Groups variable compensation policy, annual deferred compensation plans are set up for certain high‑performing employees or pursuant to special regulatory frameworks.</w:t>
      </w:r>
    </w:p>
    <w:p w14:paraId="42A89C3B" w14:textId="77777777" w:rsidR="001870DC" w:rsidRDefault="00000000">
      <w:r>
        <w:t>The aim of this loyalty scheme is to make different categories of managerial staff partners in the Groups development and profitability objectives.</w:t>
      </w:r>
    </w:p>
    <w:p w14:paraId="597E57E0" w14:textId="0B8C9ACC" w:rsidR="001870DC" w:rsidRDefault="00000000">
      <w:r>
        <w:t>These personnels are representative of the Groups talent and the breadth of its managerial framework</w:t>
      </w:r>
      <w:r w:rsidR="00283BA8">
        <w:t>.</w:t>
      </w:r>
    </w:p>
    <w:p w14:paraId="5EFE2169" w14:textId="77777777" w:rsidR="001870DC" w:rsidRDefault="00000000">
      <w:r>
        <w:t>Senior managers, managers in key positions, line managers and experts, high‑potential managers, high‑performing young executives with good career development prospects and key contributors to the Groups results.</w:t>
      </w:r>
    </w:p>
    <w:p w14:paraId="5654AEB5" w14:textId="77777777" w:rsidR="001870DC" w:rsidRDefault="00000000">
      <w:r>
        <w:lastRenderedPageBreak/>
        <w:t>The amounts allocated under this plan are linked to changes in the Groups operational performance over the duration of the plan for 80% and to the achievement of the Groups Corporate Social Responsibility targets for 20%.</w:t>
      </w:r>
    </w:p>
    <w:p w14:paraId="09BF2F5F" w14:textId="77777777" w:rsidR="001870DC" w:rsidRDefault="00000000">
      <w:r>
        <w:t>In millions of euros, at 31 December 2024 31 December 2023 Provision for voluntary departure, early retirement plans, and headcount adaptation plans SHARE‑BASED PAYMENTS As part of the Groups variable remuneration policy, deferred annual compensation plans offered to certain high‑performing employees or set up pursuant to special regulatory frameworks may entitle beneficiaries to variable compensation settled in cash but linked to the share price, payable over several years.</w:t>
      </w:r>
    </w:p>
    <w:p w14:paraId="06890C48" w14:textId="77777777" w:rsidR="001870DC" w:rsidRDefault="00000000">
      <w:r>
        <w:t>Variable compensation for employees, subject to special regulatory frameworks Since the publication of the Decree by the French Ministry of Finance on 13 December 2010, and following the provisions of the European Directive CRD 4 of 26 July 2013, modified by the CRD 5 Directive of 20 May 2019, transposed into the French law in the Monetary and Financial Code by the Ordinance of 20 February 2014, and the Ordinance of 21 December 2020, as well as the Decrees and Orders of 3 November 2014 and 22 December 2020 and the Delegated European Regulation of 25 March 2021, the variable compensation plans apply to Group employees performing activities that may have a material impact on the Groups risk profile.</w:t>
      </w:r>
    </w:p>
    <w:p w14:paraId="52A8E58B" w14:textId="77777777" w:rsidR="001870DC" w:rsidRDefault="00000000">
      <w:r>
        <w:t>Deferred variable compensation for other Group employees Sums due under the annual deferred compensation plans for high‑performing employees are partly paid in cash linked to the increase or decrease in the BNP Paribas share price.</w:t>
      </w:r>
    </w:p>
    <w:p w14:paraId="347AF8F6" w14:textId="77777777" w:rsidR="001870DC" w:rsidRDefault="00000000">
      <w:r>
        <w:t>The remuneration and benefits policy relating to the Groups corporate officers, as well as the detailed information on an individual basis, are presented in chapter 2 Corporate governance of the Universal registration document.</w:t>
      </w:r>
    </w:p>
    <w:p w14:paraId="6CADCBAF" w14:textId="77777777" w:rsidR="001870DC" w:rsidRDefault="00000000">
      <w:r>
        <w:t>This year, services other than the ones required for the statutory audit mainly refer to issuance of attestation of accounting and financial information, review of the quality of the internal control as per the international standards such as ISAE 3402 within the framework of services provided to customers, especially in the Securities and the Asset Management Business Lines, expertise on the Banks transformation projects, technical consultations on specific issues and assessment of the compliance of the entitys framework with LawRegulation.</w:t>
      </w:r>
    </w:p>
    <w:p w14:paraId="626BDC01" w14:textId="77777777" w:rsidR="001870DC" w:rsidRDefault="00000000">
      <w:r>
        <w:t>To the Annual General Meeting of BNP Paribas, Opinion In compliance with the engagement entrusted to us by your Annual General Meeting, we have audited the accompanying consolidated financial statements of BNP Paribas for the year ended December 31, 2024.</w:t>
      </w:r>
    </w:p>
    <w:p w14:paraId="5EE3EDB3" w14:textId="77777777" w:rsidR="001870DC" w:rsidRDefault="00000000">
      <w:r>
        <w:t>Basis for opinion Audit framework We conducted our audit in accordance with professional standards applicable in France.</w:t>
      </w:r>
    </w:p>
    <w:p w14:paraId="6922D5F9" w14:textId="77777777" w:rsidR="001870DC" w:rsidRDefault="00000000">
      <w:r>
        <w:t xml:space="preserve">In an environment of persistent uncertainties marked by geopolitical and economic tensions, the assessment of expected credit losses on customer loan portfolios requires </w:t>
      </w:r>
      <w:r>
        <w:lastRenderedPageBreak/>
        <w:t>increased judgment and the use of assumptions from BNP Paribas management, particularly to, We consider that the assessment of credit risk and the measurement of related impairment constitute a key audit matter, as these items involve managements judgment and estimates in an environment marked by above‑mentioned uncertainties.</w:t>
      </w:r>
    </w:p>
    <w:p w14:paraId="7877AB83" w14:textId="77777777" w:rsidR="001870DC" w:rsidRDefault="00000000">
      <w:r>
        <w:t>Given the long‑term horizon of commitments related to savings and retirement insurance contracts, their significant sensitivity to the economic and financial environment that can impact policyholder behavior, and the significant judgment from management in selecting data and assumptions, as well as the use of complex modeling techniques to reflect the most probable estimated future situation, we considered the valuation of insurance contracts liabilities in the savings and retirement businesses to be a key audit matter.</w:t>
      </w:r>
    </w:p>
    <w:p w14:paraId="21FBBCAC" w14:textId="77777777" w:rsidR="001870DC" w:rsidRDefault="00000000">
      <w:r>
        <w:t>With the support of our actuarial modeling specialists and our IT specialized teams, we performed the following audit procedures, Assessed the eligibility of savings and retirement insurance contracts for the variable fee accounting valuation model and evaluated the correct application by management of these valuation methods to savings and retirement insurance contracts in compliance with IFRS 17 provisions.</w:t>
      </w:r>
    </w:p>
    <w:p w14:paraId="5181E488" w14:textId="77777777" w:rsidR="001870DC" w:rsidRDefault="00000000">
      <w:r>
        <w:t>Statutory Auditors responsibilities for the audit of the consolidated financial statements Objectives and audit approach Our role is to issue a report on the consolidated financial statements.</w:t>
      </w:r>
    </w:p>
    <w:p w14:paraId="7F290B45" w14:textId="77777777" w:rsidR="001870DC" w:rsidRDefault="00000000">
      <w:r>
        <w:t>The Statutory Auditors are responsible for the management, supervision and performance of the audit of the consolidated financial statements and for the opinion expressed on these consolidated financial statements.</w:t>
      </w:r>
    </w:p>
    <w:p w14:paraId="64A25C69" w14:textId="77777777" w:rsidR="001870DC" w:rsidRDefault="00000000">
      <w:r>
        <w:t>Chapter 5 presents the information relative to the BNP Paribas Groups risks and in this respect meets, The Basel current measures known as Basel 3, approved in November 2010, strengthen the ability of banks to withstand economic and financial shocks of all kinds by introducing a series of regulatory provisions.</w:t>
      </w:r>
    </w:p>
    <w:p w14:paraId="43C01C35" w14:textId="77777777" w:rsidR="001870DC" w:rsidRDefault="00000000">
      <w:r>
        <w:t>The regulatory framework of Basel 3 had the following main impacts, Furthermore, on 7 December 2017, the Group of Governors and Heads of Supervision approved the reforms finalising the Basel 3 regulatory framework.</w:t>
      </w:r>
    </w:p>
    <w:p w14:paraId="3C0704F5" w14:textId="77777777" w:rsidR="001870DC" w:rsidRDefault="00000000">
      <w:r>
        <w:t>The BNP Paribas Group operates all of its activities within the framework of a robust internal control system.</w:t>
      </w:r>
    </w:p>
    <w:p w14:paraId="7455ED76" w14:textId="77777777" w:rsidR="001870DC" w:rsidRDefault="00000000">
      <w:r>
        <w:t>Control plans and procedures are in place within the Group to ensure the proper compliance of the information contained in the management report.</w:t>
      </w:r>
    </w:p>
    <w:p w14:paraId="1F83CC7E" w14:textId="77777777" w:rsidR="001870DC" w:rsidRDefault="00000000">
      <w:r>
        <w:t>Between 2016 and 2024, other types of risk in operational risk consisted of business disruption and systems failure 4%, employment practices and workplace safety 3%, damage to physical assets 2% and internal fraud 1%.</w:t>
      </w:r>
    </w:p>
    <w:p w14:paraId="1E48C495" w14:textId="77777777" w:rsidR="001870DC" w:rsidRDefault="00000000">
      <w:r>
        <w:t>The BNP Paribas Group devotes significant resources to developing its risk management policies, procedures and assessment methods and intends to continue to do so in the future.</w:t>
      </w:r>
    </w:p>
    <w:p w14:paraId="68AA548E" w14:textId="77777777" w:rsidR="001870DC" w:rsidRDefault="00000000">
      <w:r>
        <w:lastRenderedPageBreak/>
        <w:t>In addition, the BNP Paribas Group is subject to cybersecurity risk, or risk caused by a malicious andor fraudulent act, committed virtually, with the intention of manipulating information confidential, bankinginsurance, technical or strategic data, processes and users, in order to cause material losses to the BNP Paribas Groups subsidiaries, employees, partners and clients, for the purpose of extortion ransomware andor for political or ideological purposes.</w:t>
      </w:r>
    </w:p>
    <w:p w14:paraId="697AAFEA" w14:textId="77777777" w:rsidR="001870DC" w:rsidRDefault="00000000">
      <w:r>
        <w:t>Unexpected market developments may also reduce the effectiveness of the BNP Paribas Groups hedging strategies.</w:t>
      </w:r>
    </w:p>
    <w:p w14:paraId="22BB862A" w14:textId="77777777" w:rsidR="001870DC" w:rsidRDefault="00000000">
      <w:r>
        <w:t>Independently of market changes, the development of index portfolios or the below‑market performance by the BNP Paribas Groups mutual funds may lead to reduced revenues from the BNP Paribas Groups asset management business, and increased withdrawals and reduced inflows for these vehicles.</w:t>
      </w:r>
    </w:p>
    <w:p w14:paraId="0F16D127" w14:textId="77777777" w:rsidR="001870DC" w:rsidRDefault="00000000">
      <w:r>
        <w:t>The BNP Paribas Group is subject to regulatory compliance risk.</w:t>
      </w:r>
    </w:p>
    <w:p w14:paraId="79627B1D" w14:textId="77777777" w:rsidR="001870DC" w:rsidRDefault="00000000">
      <w:r>
        <w:t>The volume and amount of damages claimed in litigation, regulatory proceedings and other adversarial proceedings against financial services firms have substantially increased in recent years and may increase further.</w:t>
      </w:r>
    </w:p>
    <w:p w14:paraId="5219FF58" w14:textId="77777777" w:rsidR="001870DC" w:rsidRDefault="00000000">
      <w:r>
        <w:t>The BRRD, the Ordinances of 20 August 2015 and 21 December 2020 transposing it, and the Regulation of the European Parliament and Council of the European Union of 15 July 2014, each as amended from time to time, confer upon the ACPR or the Single Resolution Board the power to commence resolution proceedings for a banking institution, such as the BNP Paribas Group, with a view to ensure the continuity of critical functions, to avoid the risks of contagion and to recapitalise or restore the viability of the institution.</w:t>
      </w:r>
    </w:p>
    <w:p w14:paraId="4A65BDE4" w14:textId="77777777" w:rsidR="001870DC" w:rsidRDefault="00000000">
      <w:r>
        <w:t>Additionally, the Group is pursuing an ambitious corporate social responsibility policy and is committed to making a positive impact on society with concrete commitments and targets.</w:t>
      </w:r>
    </w:p>
    <w:p w14:paraId="3C32B563" w14:textId="77777777" w:rsidR="001870DC" w:rsidRDefault="00000000">
      <w:r>
        <w:t>Successful integration and the realisation of synergies require, among other things, proper coordination of business development and marketing efforts, retention of key members of management, policies for effective recruitment and training as well as the ability to adapt information and computer systems.</w:t>
      </w:r>
    </w:p>
    <w:p w14:paraId="00655D7A" w14:textId="77777777" w:rsidR="001870DC" w:rsidRDefault="00000000">
      <w:r>
        <w:t>Competition in the banking industry could intensify as a result of consolidation in the financial services area, the increased appeal of certain banking products or securities, such as Belgian government bonds since 2023, the presence of new players in the payment and the financing services area or the development of crowdfunding platforms, as well as the continuing evolution of consumer habits in the banking sector.</w:t>
      </w:r>
    </w:p>
    <w:p w14:paraId="4BBFC1E0" w14:textId="77777777" w:rsidR="001870DC" w:rsidRDefault="00000000">
      <w:r>
        <w:t xml:space="preserve">While it is difficult to predict the effects of these developments and the regulations that apply to them, the use of such technology could nevertheless reduce the market share of banks, including the BNP Paribas Group, secure investments that otherwise would have </w:t>
      </w:r>
      <w:r>
        <w:lastRenderedPageBreak/>
        <w:t>used technology used by more established financial institutions, such as BNP Paribas or, more broadly, lead to the emergence of a different monetary system in which the attractiveness of using established financial institutions such as BNP Paribas would be affected.</w:t>
      </w:r>
    </w:p>
    <w:p w14:paraId="167D7CD4" w14:textId="77777777" w:rsidR="001870DC" w:rsidRDefault="00000000">
      <w:r>
        <w:t>If such developments continue to gain momentum, particularly with the support of governments and central banks, if the BNP Paribas Group is unable to respond to the competitive environment in France or in its other major markets by offering more attractive, innovative and profitable product and service solutions than those offered by current competitors or new entrants or if some of these activities were to be carried out by institutions other than banks, it may lose market share in key areas of its business or incur losses on some or all of its activities.</w:t>
      </w:r>
    </w:p>
    <w:p w14:paraId="672A99B2" w14:textId="77777777" w:rsidR="001870DC" w:rsidRDefault="00000000">
      <w:r>
        <w:t>In addition, the development of ESG‑related regulatory requirements could lead to an increase in litigation faced by financial institutions.</w:t>
      </w:r>
    </w:p>
    <w:p w14:paraId="685722D8" w14:textId="77777777" w:rsidR="001870DC" w:rsidRDefault="00000000">
      <w:r>
        <w:t>Policy and regulatory initiatives and frameworks, including at the European and international levels, concerning climate change and sustainability, as well as voluntary and joint commitments through industry alliances, create increasing legal, regulatory and reputational risks.</w:t>
      </w:r>
    </w:p>
    <w:p w14:paraId="71E0A8DC" w14:textId="77777777" w:rsidR="001870DC" w:rsidRDefault="00000000">
      <w:r>
        <w:t>The ESG regulatory framework is constantly changing and instituting, among other things, requirements in terms of disclosure and the integration of climate risks into risk measurement and management systems.</w:t>
      </w:r>
    </w:p>
    <w:p w14:paraId="52BAEB71" w14:textId="77777777" w:rsidR="001870DC" w:rsidRDefault="00000000">
      <w:r>
        <w:t>These initiatives and frameworks overlap in some respects and are not always consistent in their objectives, resulting in regulatory complexity and, in some cases, a lack of clarity and difficulty in interpretation.</w:t>
      </w:r>
    </w:p>
    <w:p w14:paraId="67E74110" w14:textId="77777777" w:rsidR="001870DC" w:rsidRDefault="00000000">
      <w:r>
        <w:t>Notwithstanding its efforts to combat climate change and monitor the related risks, the physical, transitional or liability risks related to climate change, or any delay or failure to implement ESG risk management, could have a material adverse effect on the Groups business, financial condition or reputation.</w:t>
      </w:r>
    </w:p>
    <w:p w14:paraId="2DB7FC0C" w14:textId="77777777" w:rsidR="001870DC" w:rsidRDefault="00000000">
      <w:r>
        <w:t>If the BNP Paribas Group increases the amount of high risk‑weighted assets either by increasing the proportion of such high risk‑weighted assets in its overall asset portfolio or due to an increase of the regulatory risk‑weighting applicable to these assets, its capital adequacy ratios may be lowered.</w:t>
      </w:r>
    </w:p>
    <w:p w14:paraId="064D2E28" w14:textId="77777777" w:rsidR="001870DC" w:rsidRDefault="00000000">
      <w:r>
        <w:t>This committee also decides on the main lines of sustainable finances commercial policy and monitors their operational implementation.</w:t>
      </w:r>
    </w:p>
    <w:p w14:paraId="59F0672E" w14:textId="77777777" w:rsidR="001870DC" w:rsidRDefault="00000000">
      <w:r>
        <w:t>Where necessary, it also validates cross‑functional infrastructure choices ensuring the expertise and consistency of the implementation of regulatory requirements and the commitments made by the Group in methods, analyses, risk management, data, tools, standards and reporting related to sustainable finance.</w:t>
      </w:r>
    </w:p>
    <w:p w14:paraId="76B347D1" w14:textId="77777777" w:rsidR="001870DC" w:rsidRDefault="00000000">
      <w:r>
        <w:lastRenderedPageBreak/>
        <w:t>These developments look overall susceptible to weigh on growth and support inflation, notably by generating additional costs and a less efficient diffusion of technologies.</w:t>
      </w:r>
    </w:p>
    <w:p w14:paraId="56D723A5" w14:textId="0A70BED5" w:rsidR="001870DC" w:rsidRDefault="00000000">
      <w:r>
        <w:t xml:space="preserve">Moreover, in this strengthened regulatory context, the risk of non‑compliance with existing laws and regulations, </w:t>
      </w:r>
      <w:proofErr w:type="gramStart"/>
      <w:r>
        <w:t>in particular</w:t>
      </w:r>
      <w:proofErr w:type="gramEnd"/>
      <w:r>
        <w:t xml:space="preserve"> those relating to the protection of the interests of customers and personal data, is a significant risk for the banking industry, potentially resulting in significant losses and fines</w:t>
      </w:r>
      <w:r w:rsidR="00283BA8">
        <w:t>.</w:t>
      </w:r>
    </w:p>
    <w:p w14:paraId="167F6169" w14:textId="77777777" w:rsidR="001870DC" w:rsidRDefault="00000000">
      <w:r>
        <w:t>In addition to its compliance system, which specifically covers this type of risk, the Group places the interest of its customers, and more broadly that of its stakeholders, at the heart of its mechanism.</w:t>
      </w:r>
    </w:p>
    <w:p w14:paraId="2FC8C546" w14:textId="77777777" w:rsidR="001870DC" w:rsidRDefault="00000000">
      <w:r>
        <w:t>Environmental risks The BNP Paribas Group is exposed to risks related to climate change, either directly through its own operations or for certain of its assets or indirectly through its financing and investment activities.</w:t>
      </w:r>
    </w:p>
    <w:p w14:paraId="4444D6E3" w14:textId="77777777" w:rsidR="001870DC" w:rsidRDefault="00000000">
      <w:r>
        <w:t>The Group thus integrates these risk factors into its risk management process and gradually strengthens their assessment, as the methodologies for measuring and analysing these factors and their impact on traditional risks, in particular, those relating to credit quality, are developed.</w:t>
      </w:r>
    </w:p>
    <w:p w14:paraId="1FF48EBE" w14:textId="77777777" w:rsidR="001870DC" w:rsidRDefault="00000000">
      <w:r>
        <w:t>Evolving regulatory environments In addition to the regulatory measures recently adopted or pending adoption, and already cited as top risks, the trend towards increasing complexity of the banking regulatory environment and associated supervision, as well as regional divergences, induces relative uncertainty about future developments, compliance costs, and the risk of proper execution of various measures.</w:t>
      </w:r>
    </w:p>
    <w:p w14:paraId="0414E56B" w14:textId="77777777" w:rsidR="001870DC" w:rsidRDefault="00000000">
      <w:r>
        <w:t>Demographic issues Demographic transition decrease in fertility rate, increase in life expectancy is a major underlying development in many countries.</w:t>
      </w:r>
    </w:p>
    <w:p w14:paraId="30B1FDE8" w14:textId="77777777" w:rsidR="001870DC" w:rsidRDefault="00000000">
      <w:r>
        <w:t>Coupled with other risk factors technological, economic, and environmentalthis increase in inequalities fosters the development of illicit activities and the growth of organised crime, further destabilising societies.</w:t>
      </w:r>
    </w:p>
    <w:p w14:paraId="3766846C" w14:textId="77777777" w:rsidR="001870DC" w:rsidRDefault="00000000">
      <w:r>
        <w:t>It highlights social discontent over inequality and perceived policy failures.</w:t>
      </w:r>
    </w:p>
    <w:p w14:paraId="72F30696" w14:textId="77777777" w:rsidR="001870DC" w:rsidRDefault="00000000">
      <w:r>
        <w:t>Requirements under banking regulations and supervision With respect to Pillar 1, the Group is required to meet, Additional requirements known as buffers In addition to the minimum capital requirements regarding Pillar 1, BNP Paribas has to maintain additional CET1 capital buffers, Pillar 2 requirement With respect to supervision, the second Pillar of the Basel Agreement provides that the supervisor shall determine whether the policies, strategies, procedures and arrangements implemented by the Group, on the one hand, and the capital held, on the other hand, are adequate for risk management and risk coverage purposes.</w:t>
      </w:r>
    </w:p>
    <w:p w14:paraId="7050A326" w14:textId="77777777" w:rsidR="001870DC" w:rsidRDefault="00000000">
      <w:r>
        <w:lastRenderedPageBreak/>
        <w:t>Capital planning consists in comparing regulatory requirements and the capital ratio targets defined by the Group with future projected capital requirements, then testing their robustness in different scenarios, including stressed macroeconomic environments.</w:t>
      </w:r>
    </w:p>
    <w:p w14:paraId="608FCFFB" w14:textId="77777777" w:rsidR="001870DC" w:rsidRDefault="00000000">
      <w:r>
        <w:t>The objective of Solvency II is to, Solvency II is based on three pillars that aim to, The BNP Paribas Cardif group complies with this regulation both in terms of risk management and governance, as well as calculation and reporting.</w:t>
      </w:r>
    </w:p>
    <w:p w14:paraId="082AAEAC" w14:textId="77777777" w:rsidR="001870DC" w:rsidRDefault="00000000">
      <w:r>
        <w:t>Compliance with the regulation on the additional supervision of financial conglomerates As a bancassurer, the BNP Paribas Group is also subject to additional supervision as a financial conglomerate, pursuant to European Directive 200287EU, supplemented by Delegated Regulation 3422014 of the European Commission and implemented into French law by the Order of 3 November 2014.</w:t>
      </w:r>
    </w:p>
    <w:p w14:paraId="687BB1D5" w14:textId="77777777" w:rsidR="001870DC" w:rsidRDefault="00000000">
      <w:r>
        <w:t>Capital is a rare and strategic resource, which requires stringent, clearly defined, rigorous management according to an approach, which takes account of the needs and demands of stakeholders, including shareholders, supervisors, creditors and depositors.</w:t>
      </w:r>
    </w:p>
    <w:p w14:paraId="6C621ECE" w14:textId="77777777" w:rsidR="001870DC" w:rsidRDefault="00000000">
      <w:r>
        <w:t>To ensure its capital adequacy, the Group abides by the following principles, Governance The governance of the development, approval and update of the capital planning process is handled by two committees, The Capital Committee is also the Groups competent Executive Management authority for all issues related to the internal credit and operational risk model and the methodologies used in the ICAAP.</w:t>
      </w:r>
    </w:p>
    <w:p w14:paraId="0B44AA4B" w14:textId="77777777" w:rsidR="001870DC" w:rsidRDefault="00000000">
      <w:r>
        <w:t>It is mainly based on two principles, compliance with local regulatory requirements and analysis of the local business needs of the entity and growth prospects.</w:t>
      </w:r>
    </w:p>
    <w:p w14:paraId="6445B079" w14:textId="77777777" w:rsidR="001870DC" w:rsidRDefault="00000000">
      <w:r>
        <w:t>It approves the overall strategy in terms of sustainable finance, decides the main focuses of sustainable finance commercial policies and monitors their operational implementation.</w:t>
      </w:r>
    </w:p>
    <w:p w14:paraId="608FF8C2" w14:textId="77777777" w:rsidR="001870DC" w:rsidRDefault="00000000">
      <w:r>
        <w:t>Where necessary, it also validates ■ cross‑functional infrastructure choices ensuring expertise and consistency in the implementation of regulatory requirements and the Groups commitments in methods, analyses, risk management, data, tools, standards and reporting related to sustainable finance.</w:t>
      </w:r>
    </w:p>
    <w:p w14:paraId="0E470C69" w14:textId="77777777" w:rsidR="001870DC" w:rsidRDefault="00000000">
      <w:r>
        <w:t>This is the highest authority in terms of technological and cybersecurity risk management.</w:t>
      </w:r>
    </w:p>
    <w:p w14:paraId="56B3DB21" w14:textId="77777777" w:rsidR="001870DC" w:rsidRDefault="00000000">
      <w:r>
        <w:t>Compliance deals identically with risks related to financial security money laundering, terrorist financing, corruption and influence peddling, market integrity, protection of clients, professional ethics, tax regulations applicable to customers and laws governing banking activities.</w:t>
      </w:r>
    </w:p>
    <w:p w14:paraId="4CEA69AA" w14:textId="77777777" w:rsidR="001870DC" w:rsidRDefault="00000000">
      <w:r>
        <w:t>Independent and hierarchically integrated on a global basis, Compliance brings together all employees reporting to the function.</w:t>
      </w:r>
    </w:p>
    <w:p w14:paraId="57E46F14" w14:textId="77777777" w:rsidR="001870DC" w:rsidRDefault="00000000">
      <w:r>
        <w:lastRenderedPageBreak/>
        <w:t>Role of the Chief Risk Officer In order to fulfil its missions and in compliance with regulations as well as with the banking industry best practices, RISK is an independent, hierarchically integrated and decentralised function.</w:t>
      </w:r>
    </w:p>
    <w:p w14:paraId="718647AD" w14:textId="77777777" w:rsidR="001870DC" w:rsidRDefault="00000000">
      <w:r>
        <w:t>In addition to the various training programmes in support of this ambition, numerous awareness and acculturation initiatives are conducted at global and local level within different entities.</w:t>
      </w:r>
    </w:p>
    <w:p w14:paraId="4778A9E3" w14:textId="77777777" w:rsidR="001870DC" w:rsidRDefault="00000000">
      <w:r>
        <w:t>These include some programmes aimed at sharing risk management advancements with a broad audience of employees presented directly by Group experts, for example, cyber risks, operational risks, credit and counterparty risks, ESG‑related risks, legal risks.</w:t>
      </w:r>
    </w:p>
    <w:p w14:paraId="7B1A54D5" w14:textId="77777777" w:rsidR="001870DC" w:rsidRDefault="00000000">
      <w:r>
        <w:t>For example, employees are reminded in the Code of conduct that the Groups interests are protected by responsible risk‑taking in a strict control environment.</w:t>
      </w:r>
    </w:p>
    <w:p w14:paraId="3C357ABF" w14:textId="77777777" w:rsidR="001870DC" w:rsidRDefault="00000000">
      <w:r>
        <w:t>The Code of conduct, updated in 2021, also includes rules for protecting customers interests, financial security, market integrity, professional ethics and anti‑bribery and corruption, which all play an important role in mitigating non‑compliance and reputation risks.</w:t>
      </w:r>
    </w:p>
    <w:p w14:paraId="6AB2C587" w14:textId="5D0CA0ED" w:rsidR="001870DC" w:rsidRDefault="00000000">
      <w:r>
        <w:t>Sponsored by four functions, Compliance, LEGAL, Human Resources</w:t>
      </w:r>
      <w:r w:rsidR="00283BA8">
        <w:t xml:space="preserve">, </w:t>
      </w:r>
      <w:r>
        <w:t>and RISK, Risk Culture is designed for the benefit of all staff and intervenes on all types of risks to which the Group may be exposed credit, market, liquidity, operational, non‑compliance, regulatory, environmental and social risks, etc.</w:t>
      </w:r>
    </w:p>
    <w:p w14:paraId="6750CB92" w14:textId="77777777" w:rsidR="001870DC" w:rsidRDefault="00000000">
      <w:r>
        <w:t>Taking an adaptive and participatory approach, this initiative supports the business lines and functions in their risk awareness promotion efforts, for example in transformation projects or when onboarding new employees.</w:t>
      </w:r>
    </w:p>
    <w:p w14:paraId="219E7FBA" w14:textId="77777777" w:rsidR="001870DC" w:rsidRDefault="00000000">
      <w:r>
        <w:t>By leveraging the information already shared by the entities, Risk Culture aims to make essential concepts accessible to as many employees as possible and pays close attention to ensure that conduct and behaviour requirements are well integrated into this exercise of knowledge transmission.</w:t>
      </w:r>
    </w:p>
    <w:p w14:paraId="5896B452" w14:textId="77777777" w:rsidR="001870DC" w:rsidRDefault="00000000">
      <w:r>
        <w:t>In conjunction with operating entities, Risk Culture actions mainly consist of, In all its initiatives, Risk Culture promotes the six fundamental risk management practices that are key to developing a robust risk culture.</w:t>
      </w:r>
    </w:p>
    <w:p w14:paraId="28909F02" w14:textId="77777777" w:rsidR="001870DC" w:rsidRDefault="00000000">
      <w:r>
        <w:t>The Groups strategy underpinning its risk appetite is founded on the core principles that have guided its development, a balance between business activities to deliver profitability and stability, a customer‑focused business model and an integrated banking model to optimise services to the latter.</w:t>
      </w:r>
    </w:p>
    <w:p w14:paraId="4F30D4CF" w14:textId="77777777" w:rsidR="001870DC" w:rsidRDefault="00000000">
      <w:r>
        <w:t>This strategy also factors developments in the banking industry, including the trend towards a digital model, and a macroeconomic situation marked by still high interest rates, in a context of particularly critical geopolitical risk, while certain sectors of the economy show higher levels of risk.</w:t>
      </w:r>
    </w:p>
    <w:p w14:paraId="1F60F52C" w14:textId="77777777" w:rsidR="001870DC" w:rsidRDefault="00000000">
      <w:r>
        <w:lastRenderedPageBreak/>
        <w:t>To do so it has developed a risk management infrastructure based on identifying potential risks, strategies to mitigate risk, and actions to raise awareness of these risks.</w:t>
      </w:r>
    </w:p>
    <w:p w14:paraId="65AA6901" w14:textId="77777777" w:rsidR="001870DC" w:rsidRDefault="00000000">
      <w:r>
        <w:t>Some specific risks have resulted in the definition of dedicated principles, in particular, non‑compliance risk, ■ The Group is committed to compliance with all applicable laws and regulations.</w:t>
      </w:r>
    </w:p>
    <w:p w14:paraId="558B4B44" w14:textId="77777777" w:rsidR="001870DC" w:rsidRDefault="00000000">
      <w:r>
        <w:t>It undertakes to implement a system to manage the risk of non‑compliance, including through special programmes dedicated to the most important regulations for its business, information, communication and technology risk, ■ The Group endeavours to reduce the risks related to the security of its information through various awareness actions, enhanced supervision of outsourced activities, heightened protection of terminals, incident monitoring, and a technology watch over IT vulnerabilities and attacks.</w:t>
      </w:r>
    </w:p>
    <w:p w14:paraId="5BD34BDD" w14:textId="77777777" w:rsidR="001870DC" w:rsidRDefault="00000000">
      <w:r>
        <w:t>The participation of BNP Paribas in the exercise, like that of the other 110 banks involved in the exercise, consisted in providing information on selected credit risk and market risk exposures as well as on revenues pertaining to climate risk greenhouse gas emissions of corporate clients, energy performance certificates and asset location of financed assets for selected residential and commercial real estate portfolios.</w:t>
      </w:r>
    </w:p>
    <w:p w14:paraId="54124728" w14:textId="77777777" w:rsidR="001870DC" w:rsidRDefault="00000000">
      <w:r>
        <w:t>Moreover, ad hoc stress testing is performed, when appropriate, within Risk &amp; Development Policy Committees, portfolio reviews or Country Strategic Committees to identify and assess areas of vulnerability within the Groups portfolios, ■ stress tests for the budget process, they contribute to three‑year capital planning.</w:t>
      </w:r>
    </w:p>
    <w:p w14:paraId="5C40BC9F" w14:textId="77777777" w:rsidR="001870DC" w:rsidRDefault="00000000">
      <w:r>
        <w:t>Since its creation, the Groups stress testing framework has evolved continuously in order to integrate the most recent developments in stress tests, whether in terms of methodologies or improved operational integration in the Groups management processes.</w:t>
      </w:r>
    </w:p>
    <w:p w14:paraId="3A90F99A" w14:textId="77777777" w:rsidR="001870DC" w:rsidRDefault="00000000">
      <w:r>
        <w:t>Construction of scenarios The baseline, adverse, severe and favourable scenarios are revised quarterly to monitor the Banks risk appetite metrics and credit provision calculations within the framework of IFRS 9.</w:t>
      </w:r>
    </w:p>
    <w:p w14:paraId="66C45A9D" w14:textId="77777777" w:rsidR="001870DC" w:rsidRDefault="00000000">
      <w:r>
        <w:t>The definition and the implementation of the Groups target structure in terms of stress testing and ICAAP while covering the associated organisational issues, modelisation, IT systems and governance.</w:t>
      </w:r>
    </w:p>
    <w:p w14:paraId="15D538CA" w14:textId="77777777" w:rsidR="001870DC" w:rsidRDefault="00000000">
      <w:r>
        <w:t>The overall portfolio management policy, including concentration of risk by single name, industry and country, is based on this monitoring system and Group Risk Committees review all reports and analyses produced, risk concentration by country is managed through country risk limits that are set at the appropriate level of delegated authority for each country.</w:t>
      </w:r>
    </w:p>
    <w:p w14:paraId="2FF06B9C" w14:textId="77777777" w:rsidR="001870DC" w:rsidRDefault="00000000">
      <w:r>
        <w:t>The quality of the methods used is guaranteed by, This governance is based on internal policies and procedures, the supervision of the Credit Risk Stress Testing Committees by business line and the integration of the stress tests within the risk management system.</w:t>
      </w:r>
    </w:p>
    <w:p w14:paraId="355D0B6D" w14:textId="77777777" w:rsidR="001870DC" w:rsidRDefault="00000000">
      <w:r>
        <w:lastRenderedPageBreak/>
        <w:t>The central stress testing framework is consistent with the structure defined in the EBA guidelines for European stress tests, strict governance in terms of the separation of duties and responsibilities.</w:t>
      </w:r>
    </w:p>
    <w:p w14:paraId="4D8C2093" w14:textId="77777777" w:rsidR="001870DC" w:rsidRDefault="00000000">
      <w:r>
        <w:t>The system was strengthened and adapted to the evolution of the risk environment, The Bank has developed a partnership with the Centre de Mathématiques appliquées de lÉcole Polytechnique en France to ensure access to the most advanced scientific knowledge in the measurement of climate change risks, cyber risks, uncertainty and extreme events more generally.</w:t>
      </w:r>
    </w:p>
    <w:p w14:paraId="13CA884A" w14:textId="77777777" w:rsidR="001870DC" w:rsidRDefault="00000000">
      <w:r>
        <w:t>This system is used to take into account the impact of the rise in recent interest rates and contributes to the assessment of climate change risks.</w:t>
      </w:r>
    </w:p>
    <w:p w14:paraId="5BDB2D0A" w14:textId="77777777" w:rsidR="001870DC" w:rsidRDefault="00000000">
      <w:r>
        <w:t>Moreover, verification is performed to ensure compliance with the floors set by the regulation on these models.</w:t>
      </w:r>
    </w:p>
    <w:p w14:paraId="025BAE48" w14:textId="77777777" w:rsidR="001870DC" w:rsidRDefault="00000000">
      <w:r>
        <w:t>Three types of review are carried out, systematic before a model is implemented, annual when reviewing backtesting carried out by the first line, and finally periodic, covering all the IRBA models used in the Bank according to an auditing plan that takes into account a risk‑based approach.</w:t>
      </w:r>
    </w:p>
    <w:p w14:paraId="1239A4E0" w14:textId="77777777" w:rsidR="001870DC" w:rsidRDefault="00000000">
      <w:r>
        <w:t>The general principles of the rating system are set out in the Rating System paragraph in the section Credit Risk Management Policy.</w:t>
      </w:r>
    </w:p>
    <w:p w14:paraId="4876D901" w14:textId="77777777" w:rsidR="001870DC" w:rsidRDefault="00000000">
      <w:r>
        <w:t>The shipping industry has to face new environmental constraints International Maritime Organisation standards involving investment efforts.</w:t>
      </w:r>
    </w:p>
    <w:sectPr w:rsidR="001870D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EE"/>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1485317142">
    <w:abstractNumId w:val="8"/>
  </w:num>
  <w:num w:numId="2" w16cid:durableId="1611164569">
    <w:abstractNumId w:val="6"/>
  </w:num>
  <w:num w:numId="3" w16cid:durableId="1257713618">
    <w:abstractNumId w:val="5"/>
  </w:num>
  <w:num w:numId="4" w16cid:durableId="142281427">
    <w:abstractNumId w:val="4"/>
  </w:num>
  <w:num w:numId="5" w16cid:durableId="929236253">
    <w:abstractNumId w:val="7"/>
  </w:num>
  <w:num w:numId="6" w16cid:durableId="2128045397">
    <w:abstractNumId w:val="3"/>
  </w:num>
  <w:num w:numId="7" w16cid:durableId="951673272">
    <w:abstractNumId w:val="2"/>
  </w:num>
  <w:num w:numId="8" w16cid:durableId="1107315052">
    <w:abstractNumId w:val="1"/>
  </w:num>
  <w:num w:numId="9" w16cid:durableId="17582893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70DC"/>
    <w:rsid w:val="00283BA8"/>
    <w:rsid w:val="0029639D"/>
    <w:rsid w:val="00326F90"/>
    <w:rsid w:val="005235F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A0EBAA"/>
  <w14:defaultImageDpi w14:val="300"/>
  <w15:docId w15:val="{207F9421-E931-FB4E-887D-C4F3D7EE7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11839</Words>
  <Characters>67484</Characters>
  <Application>Microsoft Office Word</Application>
  <DocSecurity>0</DocSecurity>
  <Lines>562</Lines>
  <Paragraphs>158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79165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2</cp:revision>
  <dcterms:created xsi:type="dcterms:W3CDTF">2013-12-23T23:15:00Z</dcterms:created>
  <dcterms:modified xsi:type="dcterms:W3CDTF">2025-08-13T09:07:00Z</dcterms:modified>
  <cp:category/>
</cp:coreProperties>
</file>