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193E7" w14:textId="77777777" w:rsidR="003D03C2" w:rsidRDefault="00000000">
      <w:r>
        <w:t>These requirements both qualitative and quantitative are intended to improve financial transparency in the assessment of risk exposure, risk assessment procedures and capital adequacy.</w:t>
      </w:r>
    </w:p>
    <w:p w14:paraId="1A63BF84" w14:textId="77777777" w:rsidR="003D03C2" w:rsidRDefault="00000000">
      <w:r>
        <w:t>Groupe BPCE has put an internal control framework in place to verify that the reported information is appropriate and compliant.</w:t>
      </w:r>
    </w:p>
    <w:p w14:paraId="7FB6E013" w14:textId="77777777" w:rsidR="003D03C2" w:rsidRDefault="00000000">
      <w:r>
        <w:t>Each section describes the principles of organization and risk management, presents an overview of the essential information and sets out detailed quantitative information in a dedicated section.</w:t>
      </w:r>
    </w:p>
    <w:p w14:paraId="25BF3C4B" w14:textId="77777777" w:rsidR="003D03C2" w:rsidRDefault="00000000">
      <w:r>
        <w:t>Strategic business and ecosystem risks Solvency risk Risks related to the inability to implement strategic plans, the non-optimal allocation of scarce resources and exogenous factors climate, regulations, macro-economic factors, etc.</w:t>
      </w:r>
    </w:p>
    <w:p w14:paraId="16F8565D" w14:textId="38E7932E" w:rsidR="003D03C2" w:rsidRDefault="00000000">
      <w:r>
        <w:t xml:space="preserve">Climate and environmental risk Direct or indirect vulnerability </w:t>
      </w:r>
      <w:r w:rsidR="00701A26">
        <w:t>v</w:t>
      </w:r>
      <w:r>
        <w:t xml:space="preserve">ia the </w:t>
      </w:r>
      <w:proofErr w:type="gramStart"/>
      <w:r w:rsidR="00404E2C">
        <w:t>assets</w:t>
      </w:r>
      <w:proofErr w:type="gramEnd"/>
      <w:r w:rsidR="00404E2C">
        <w:t xml:space="preserve"> liabilities</w:t>
      </w:r>
      <w:r>
        <w:t xml:space="preserve"> held of banking activities to risks related to the climate and the environment, including physical risks climate hazards, pollution, loss of biodiversity, etc.</w:t>
      </w:r>
    </w:p>
    <w:p w14:paraId="5015F6B1" w14:textId="77777777" w:rsidR="003D03C2" w:rsidRDefault="00000000">
      <w:r>
        <w:t>Progress of the banking union Despite the efforts made in the trialogue, negotiations on the CRR3CRD6 banking package were not completed in 2022.</w:t>
      </w:r>
    </w:p>
    <w:p w14:paraId="75A5B406" w14:textId="77777777" w:rsidR="003D03C2" w:rsidRDefault="00000000">
      <w:r>
        <w:t>The exception of governance issues specific to the European text, the treatment of branches in third countries and the methods for assessing the suitability of executives.</w:t>
      </w:r>
    </w:p>
    <w:p w14:paraId="70F82E35" w14:textId="77777777" w:rsidR="003D03C2" w:rsidRDefault="00000000">
      <w:r>
        <w:t>It also includes provisions on the governance of financial entities, ICT Information and Communication Technology risk management and resilience testing every three years.</w:t>
      </w:r>
    </w:p>
    <w:p w14:paraId="7C1193F9" w14:textId="77777777" w:rsidR="003D03C2" w:rsidRDefault="00000000">
      <w:r>
        <w:t>The risk of non-compliance is defined as the risk of sanction judicial, administrative or disciplinary but also of financial loss or damage to reputation, resulting from non-compliance with laws and regulations, professional standards and practices, and ethical standards specific to banking and insurance activities, whether national or international.</w:t>
      </w:r>
    </w:p>
    <w:p w14:paraId="4966A6E0" w14:textId="77777777" w:rsidR="003D03C2" w:rsidRDefault="00000000">
      <w:r>
        <w:t>The banking and insurance sectors are subject to increased regulatory oversight, both in France and internationally.</w:t>
      </w:r>
    </w:p>
    <w:p w14:paraId="021CBD1D" w14:textId="77777777" w:rsidR="003D03C2" w:rsidRDefault="00000000">
      <w:r>
        <w:t>The risk of non-compliance may also lead to failures in the implementation of international sanctions embargoes, asset freezes on individuals targeted by national measures applicable in the jurisdictions in which Groupe BPCE is present, European Union restrictions, or extraterritorial sanctions from certain foreign authorities.</w:t>
      </w:r>
    </w:p>
    <w:p w14:paraId="238FBDEE" w14:textId="77777777" w:rsidR="003D03C2" w:rsidRDefault="00000000">
      <w:r>
        <w:t>Within BPCE, the Compliance function is responsible for overseeing the system for preventing and managing non-compliance risks.</w:t>
      </w:r>
    </w:p>
    <w:p w14:paraId="5C76165F" w14:textId="77777777" w:rsidR="003D03C2" w:rsidRDefault="00000000">
      <w:r>
        <w:t xml:space="preserve">Use of inappropriate means to promote and market Group products and services, inadequate management of potential conflicts of interest, legal and regulatory </w:t>
      </w:r>
      <w:r>
        <w:lastRenderedPageBreak/>
        <w:t>requirements, ethical issues, money laundering laws, economic sanctions, data policies and sales and trading practices could adversely affect Groupe BPCEs reputation.</w:t>
      </w:r>
    </w:p>
    <w:p w14:paraId="39453339" w14:textId="77777777" w:rsidR="003D03C2" w:rsidRDefault="00000000">
      <w:r>
        <w:t>Its reputation could also be harmed by inappropriate employee behavior, cybercrime or cyber-terrorist attacks on Groupe BPCEs information and communication systems, or any fraud, embezzlement or other misappropriation of funds committed by financial sector participants to which Groupe BPCE is exposed, or any legal ruling or regulatory action with a potentially unfavorable outcome.</w:t>
      </w:r>
    </w:p>
    <w:p w14:paraId="2ECADD16" w14:textId="77777777" w:rsidR="003D03C2" w:rsidRDefault="00000000">
      <w:r>
        <w:t>Unforeseen events, such as a serious natural disaster, events related to climate risk physical risk directly associated with climate change, pandemics, attacks or any other emergency situation can cause an abrupt interruption in the operations of Groupe BPCE entities, affecting in particular the Groups core business lines liquidity, payment instruments, securities services, loans to individual and corporate customers, and fiduciary services and trigger material losses, if the Group is not covered or not sufficiently covered by an insurance policy.</w:t>
      </w:r>
    </w:p>
    <w:p w14:paraId="3790647E" w14:textId="77777777" w:rsidR="003D03C2" w:rsidRDefault="00000000">
      <w:r>
        <w:t>These techniques and strategies may prove ineffective against certain types of risk, in particular risks that Groupe BPCE had not already identified or anticipated, given that the tools used by Groupe BPCE to develop risk management procedures are based on assessments, analyses and assumptions that may prove inaccurate or incomplete.</w:t>
      </w:r>
    </w:p>
    <w:p w14:paraId="396C04E6" w14:textId="77777777" w:rsidR="003D03C2" w:rsidRDefault="00000000">
      <w:r>
        <w:t>These physical climate risks could increase and result in significant losses for Groupe BPCE in both its banking and insurance components.</w:t>
      </w:r>
    </w:p>
    <w:p w14:paraId="0004BE34" w14:textId="77777777" w:rsidR="003D03C2" w:rsidRDefault="00000000">
      <w:r>
        <w:t>Transition risk is related to the process of adjusting to a low-carbon economy or one with a lower environmental impact, which may result in regulatory, technological or socio-demographic changes.</w:t>
      </w:r>
    </w:p>
    <w:p w14:paraId="510191C7" w14:textId="77777777" w:rsidR="003D03C2" w:rsidRDefault="00000000">
      <w:r>
        <w:t>In particular, even if consumption were to stimulate activity more in 2024 than in the previous year, while remaining in relatively moderate growth, the savings rate could increase in response to continued uncertainties, including internal risks of recurring social and political unrest.</w:t>
      </w:r>
    </w:p>
    <w:p w14:paraId="444264AC" w14:textId="77777777" w:rsidR="003D03C2" w:rsidRDefault="00000000">
      <w:r>
        <w:t>In accordance with the challenges of the national environmental transition, public authorities are redirecting their efforts towards housing renovation, with less aid for new buildings end of the Pinel scheme in 2024 which was already more restrictive in 2023, refocusing of the PTZ, etc.</w:t>
      </w:r>
    </w:p>
    <w:p w14:paraId="421CF8F8" w14:textId="77777777" w:rsidR="003D03C2" w:rsidRDefault="00000000">
      <w:r>
        <w:t>This climate change brings with it an increase in physical and energy transition risks, one that threatens very severe consequences for the environment and the people affected in their homes.</w:t>
      </w:r>
    </w:p>
    <w:p w14:paraId="6C881DCE" w14:textId="77777777" w:rsidR="003D03C2" w:rsidRDefault="00000000">
      <w:r>
        <w:t xml:space="preserve">Massive fiscal and monetary policy measures to support activity were put in place between 2020 and 2022, notably by the French government State-guaranteed loans for businesses and professional customers on the one hand, for individual customers on the other hand, </w:t>
      </w:r>
      <w:r>
        <w:lastRenderedPageBreak/>
        <w:t>short-time working measures as well as numerous other fiscal, social and bill-paying measures and by the European Central Bank more abundant and cheaper access to very large refinancing packages with a restrictive monetary policy on rates over the last few quarters.</w:t>
      </w:r>
    </w:p>
    <w:p w14:paraId="3CEC4E43" w14:textId="77777777" w:rsidR="003D03C2" w:rsidRDefault="00000000">
      <w:r>
        <w:t>In the event that Groupe BPCE is obliged to offer financial incentives to its employees in order to retain them, this situation may also lead to an increase in costs and a decline in profitability.</w:t>
      </w:r>
    </w:p>
    <w:p w14:paraId="508345DE" w14:textId="77777777" w:rsidR="003D03C2" w:rsidRDefault="00000000">
      <w:r>
        <w:t>The current upheavals technological, economic and customer requirements, particularly in the banking sector, demand major efforts to support and train employees.</w:t>
      </w:r>
    </w:p>
    <w:p w14:paraId="571C3435" w14:textId="77777777" w:rsidR="003D03C2" w:rsidRDefault="00000000">
      <w:r>
        <w:t>The models used for strategic decision-making and risk management monitoring credit, financial ALM and market, operational including compliance and climatic could fail, exposing BPCE to unidentified or unanticipated risks that could result in significant losses.</w:t>
      </w:r>
    </w:p>
    <w:p w14:paraId="700BB7EF" w14:textId="77777777" w:rsidR="003D03C2" w:rsidRDefault="00000000">
      <w:r>
        <w:t>The nature and impact of future changes in such policies and regulatory measures are unpredictable and are beyond Groupe BPCEs control.</w:t>
      </w:r>
    </w:p>
    <w:p w14:paraId="0C9C2E22" w14:textId="77777777" w:rsidR="003D03C2" w:rsidRDefault="00000000">
      <w:r>
        <w:t>Moreover, the general political environment has evolved unfavorably for banks and the financial industry, resulting in additional pressure on the part of legislative and regulatory bodies to adopt more stringent regulatory measures, despite the fact that these measures may have adverse consequences on lending and other financial activities, and on the economy.</w:t>
      </w:r>
    </w:p>
    <w:p w14:paraId="5EA28DD0" w14:textId="77777777" w:rsidR="003D03C2" w:rsidRDefault="00000000">
      <w:r>
        <w:t>Because of the continuing uncertainty surrounding the new legislative and regulatory measures, it is not possible to predict what impact they will have on Groupe BPCE.</w:t>
      </w:r>
    </w:p>
    <w:p w14:paraId="1D275EFF" w14:textId="77777777" w:rsidR="003D03C2" w:rsidRDefault="00000000">
      <w:r>
        <w:t>New measures are also liable to increase the cost of compliance with new regulations.</w:t>
      </w:r>
    </w:p>
    <w:p w14:paraId="0A742ED6" w14:textId="77777777" w:rsidR="003D03C2" w:rsidRDefault="00000000">
      <w:r>
        <w:t>These regulatory measures, which may apply to various Groupe BPCE entities, and any changes in such measures may have a material adverse impact on Groupe BPCEs business and results.</w:t>
      </w:r>
    </w:p>
    <w:p w14:paraId="2635852F" w14:textId="77777777" w:rsidR="003D03C2" w:rsidRDefault="00000000">
      <w:r>
        <w:t>Furthermore, new legislative and regulatory measures may require the Group to adapt its operations andor may affect its results and financial position.</w:t>
      </w:r>
    </w:p>
    <w:p w14:paraId="6E4333D0" w14:textId="77777777" w:rsidR="003D03C2" w:rsidRDefault="00000000">
      <w:r>
        <w:t>In todays evolving legislative and regulatory environment, it is impossible to foresee the impact of these new measures on Groupe BPCE.</w:t>
      </w:r>
    </w:p>
    <w:p w14:paraId="2327A74E" w14:textId="77777777" w:rsidR="003D03C2" w:rsidRDefault="00000000">
      <w:r>
        <w:t>The development of programs aimed at complying with these new legislative and regulatory measures The late publication of regulatory standards could lead to some delays in their implementation in Groupe BPCEs tools.</w:t>
      </w:r>
    </w:p>
    <w:p w14:paraId="434A0EA9" w14:textId="77777777" w:rsidR="003D03C2" w:rsidRDefault="00000000">
      <w:r>
        <w:t>The risk associated with regulatory measures and subsequent changes to such measures is significant for Groupe BPCE in terms of impact and probability, and is therefore carefully and proactively monitored.</w:t>
      </w:r>
    </w:p>
    <w:p w14:paraId="0B21537F" w14:textId="2706160B" w:rsidR="003D03C2" w:rsidRDefault="00000000">
      <w:r>
        <w:lastRenderedPageBreak/>
        <w:t xml:space="preserve">The implementation of the risk appetite framework is centered on four key </w:t>
      </w:r>
      <w:proofErr w:type="spellStart"/>
      <w:r>
        <w:t>components,the</w:t>
      </w:r>
      <w:proofErr w:type="spellEnd"/>
      <w:r>
        <w:t xml:space="preserve"> definition of groupwide standards,, the existence of a set of limits in line with those defined by regulations,, the distribution of expertise and responsibilities between the entities and the central institution and, the operation of the governance process within the Group and the different entities, enabling the efficient and resilient application of the risk appetite framework.</w:t>
      </w:r>
    </w:p>
    <w:p w14:paraId="188CEA68" w14:textId="77777777" w:rsidR="003D03C2" w:rsidRDefault="00000000">
      <w:r>
        <w:t>The Risk division issues an annual compliance notice to the institutions in their annual draft proposal, ensuring a high level of consistency between the risk appetites implemented locally and that of the Group.</w:t>
      </w:r>
    </w:p>
    <w:p w14:paraId="71096541" w14:textId="77777777" w:rsidR="003D03C2" w:rsidRDefault="00000000">
      <w:r>
        <w:t>It also has a sufficient The Group ensures the robustness of this system by implementing global or dedicated stress tests such as those for climate risk management, which are carried out regularly.</w:t>
      </w:r>
    </w:p>
    <w:p w14:paraId="107E67C7" w14:textId="77777777" w:rsidR="003D03C2" w:rsidRDefault="00000000">
      <w:r>
        <w:t>To this end, a prospective analysis identifying the risks that could impact the Group is carried out every six months and presented to the Risk and Compliance Committee, followed by the Boards Risk Committee.</w:t>
      </w:r>
    </w:p>
    <w:p w14:paraId="5C5FE5D4" w14:textId="77777777" w:rsidR="003D03C2" w:rsidRDefault="00000000">
      <w:r>
        <w:t>Organization of risk management Groupe BPCEs Risk division and General Secretariat in charge of compliance and permanent control measure, monitor and manage risks, pursuant to the Ministerial Order of November 3, 2014 as amended by the Order of February 25, 2021, on internal control.</w:t>
      </w:r>
    </w:p>
    <w:p w14:paraId="6600DA1E" w14:textId="77777777" w:rsidR="003D03C2" w:rsidRDefault="00000000">
      <w:r>
        <w:t>They ensure that the risk management system is effective, complete and consistent, and that risk-taking is consistent with the guidelines for the business particularly the targets and resources of the Group and its institutions.</w:t>
      </w:r>
    </w:p>
    <w:p w14:paraId="49BCA483" w14:textId="77777777" w:rsidR="003D03C2" w:rsidRDefault="00000000">
      <w:r>
        <w:t>It is based on the two charters of The various departments of the Group Risk division are involved in all risks credit, financial, operational, climate and non-banking investments by acting on, the risk policy and the resulting standards.</w:t>
      </w:r>
    </w:p>
    <w:p w14:paraId="650019D8" w14:textId="77777777" w:rsidR="003D03C2" w:rsidRDefault="00000000">
      <w:r>
        <w:t>This committee covers risks relating to operational, model, legal, non-compliance, and fraud and the EBCP risk management system, personal and property security as well as Group information systems security.</w:t>
      </w:r>
    </w:p>
    <w:p w14:paraId="4FEC4EA8" w14:textId="77777777" w:rsidR="003D03C2" w:rsidRDefault="00000000">
      <w:r>
        <w:t>This Committee verifies the implementation of Groupe BPCEs climate and environmental risk management operational strategy and oversight of that strategy.</w:t>
      </w:r>
    </w:p>
    <w:p w14:paraId="37925F0B" w14:textId="77777777" w:rsidR="003D03C2" w:rsidRDefault="00000000">
      <w:r>
        <w:t>The Risk Governance and Control department deploys the entire system on a daily basis and contributes to the overall supervision of Group risks, primarily through, oversight and updates of key risk and Compliance function documents such as charters and standards.</w:t>
      </w:r>
    </w:p>
    <w:p w14:paraId="055504F0" w14:textId="77777777" w:rsidR="003D03C2" w:rsidRDefault="00000000">
      <w:r>
        <w:t>These events are supplemented by very frequent bimonthly audio conferences and regional platforms or regional meetings of the Heads of Risk Management and Compliance, of the FSE andor of the subsidiaries, to address current topics and projects.</w:t>
      </w:r>
    </w:p>
    <w:p w14:paraId="29AB19CB" w14:textId="77777777" w:rsidR="003D03C2" w:rsidRDefault="00000000">
      <w:r>
        <w:lastRenderedPageBreak/>
        <w:t>Mag R&amp;C Distributed twice a year in French and in English to all employees of the risk and Compliance function, with a breakdown of risks, compliance, permanent control and security, regulatory or not.</w:t>
      </w:r>
    </w:p>
    <w:p w14:paraId="240959D6" w14:textId="77777777" w:rsidR="003D03C2" w:rsidRDefault="00000000">
      <w:r>
        <w:t>Focus on regulatory issues such as CRR3CRD6 and the banking package, Focus on the output floor, the law of March 21, 2022 on the protection of whistleblowers and its implementing decree, Ethics and conduct, etc.</w:t>
      </w:r>
    </w:p>
    <w:p w14:paraId="15C83F76" w14:textId="2F885EAB" w:rsidR="003D03C2" w:rsidRDefault="00000000">
      <w:r>
        <w:t xml:space="preserve">The results of the macro-level risk mapping process contribute to the Groups Supervisory Review and Evaluation </w:t>
      </w:r>
      <w:proofErr w:type="spellStart"/>
      <w:r>
        <w:t>Processby</w:t>
      </w:r>
      <w:proofErr w:type="spellEnd"/>
      <w:r>
        <w:t xml:space="preserve"> identifying the main risks under the risk management and prudential approach, included in the annual report on internal control, the ICAAP report and the Universal Registration Document risk factors section.</w:t>
      </w:r>
    </w:p>
    <w:p w14:paraId="3E3747BE" w14:textId="77777777" w:rsidR="003D03C2" w:rsidRDefault="00000000">
      <w:r>
        <w:t>The governance of the Groups stress testing system is based on a comprehensive approach covering all Group entities, taking into consideration their specific characteristics, and covering the following risks, credit risks, change in cost of risk and risk-weighted assets.</w:t>
      </w:r>
    </w:p>
    <w:p w14:paraId="69C80E80" w14:textId="77777777" w:rsidR="003D03C2" w:rsidRDefault="00000000">
      <w:r>
        <w:t>In terms of governance, the assessment of the permanent control system is the responsibility of the Group Internal Control Coordination Committee or 3CI or CCFC in its local implementation.</w:t>
      </w:r>
    </w:p>
    <w:p w14:paraId="3AE13378" w14:textId="77777777" w:rsidR="003D03C2" w:rsidRDefault="00000000">
      <w:r>
        <w:t>They are carried out by employees of departments dedicated exclusively to risk management, compliance, security, permanent control or specialized functions that do not perform level 1 controls, These controls are formalized and assessed.</w:t>
      </w:r>
    </w:p>
    <w:p w14:paraId="6C805CCE" w14:textId="77777777" w:rsidR="003D03C2" w:rsidRDefault="00000000">
      <w:r>
        <w:t>In the absence of a dedicated department, these missions are the responsibility of the Head of Risk, Compliance and Permanent Control or the Chief Risk Officer and the Head of Compliance, it being understood that the designated Executive Officer remains responsible for the consistency and effectiveness of the control, within the meaning of the Ministerial Order of November 3, 2014 as amended by the Order of February 25, 2021.</w:t>
      </w:r>
    </w:p>
    <w:p w14:paraId="13753F5A" w14:textId="77777777" w:rsidR="003D03C2" w:rsidRDefault="00000000">
      <w:r>
        <w:t>This committee is responsible for dealing with all issues relating to the consistency and effectiveness of the Group internal control system, as well as the results of risk management and internal control work and follow-up work.</w:t>
      </w:r>
    </w:p>
    <w:p w14:paraId="140C248F" w14:textId="77777777" w:rsidR="003D03C2" w:rsidRDefault="00000000">
      <w:r>
        <w:t>The committees main responsibilities include, validating the Group Internal Control Charter, the Group Risk, Compliance and Permanent Control Charter and the Group Internal Audit Charter.</w:t>
      </w:r>
    </w:p>
    <w:p w14:paraId="30E332A7" w14:textId="77777777" w:rsidR="003D03C2" w:rsidRDefault="00000000">
      <w:r>
        <w:t>Where applicable, the Internal Control Coordination Committee may hear reports from operational managers about measures they have taken to apply recommendations made by internal and external control bodies.</w:t>
      </w:r>
    </w:p>
    <w:p w14:paraId="171B0D0F" w14:textId="77777777" w:rsidR="003D03C2" w:rsidRDefault="00000000">
      <w:r>
        <w:t>In that role, it ensures the quality, effectiveness, consistency and efficiency of their control system as well as their risk management.</w:t>
      </w:r>
    </w:p>
    <w:p w14:paraId="03D0AA81" w14:textId="77777777" w:rsidR="003D03C2" w:rsidRDefault="00000000">
      <w:r>
        <w:lastRenderedPageBreak/>
        <w:t>Its top priorities are to assess and to report to the executive and decision-making bodies of the entities and the Group as a whole on, the adequacy of the entities governance framework.</w:t>
      </w:r>
    </w:p>
    <w:p w14:paraId="7729D739" w14:textId="77777777" w:rsidR="003D03C2" w:rsidRDefault="00000000">
      <w:r>
        <w:t>It sees to the expedient execution of any corrective measures to the internal control system, in accordance with Article 26 of the amended Ministerial Order of November 3, 2014 on internal control, and may call on the Supervisory Boards Risk Committee to address any measures that have not been executed.</w:t>
      </w:r>
    </w:p>
    <w:p w14:paraId="1B32A709" w14:textId="77777777" w:rsidR="003D03C2" w:rsidRDefault="00000000">
      <w:r>
        <w:t>The heads of these divisions are responsible for notifying the Head of the General internal audit in a timely manner of any disruption or major incident that comes to their attention.</w:t>
      </w:r>
    </w:p>
    <w:p w14:paraId="013ECB61" w14:textId="77777777" w:rsidR="003D03C2" w:rsidRDefault="00000000">
      <w:r>
        <w:t>ACTIVITIES IN 2023 The 2023 audit plan was built by integrating strong macro-economic tensions rise in interest rates and inflation, geopolitical tensions, risks related to structural transformations integrating technological and environmental issues, in a context of increasing regulatory requirements.</w:t>
      </w:r>
    </w:p>
    <w:p w14:paraId="610D0A2C" w14:textId="77777777" w:rsidR="003D03C2" w:rsidRDefault="00000000">
      <w:r>
        <w:t>The number of planned assignments increased significantly, from 75 in 2022 to 97 in 2023, with the increase in internal audit assignments carried out by Group Internal Audit on behalf of certain business lines Payments division, FSE division, Crédit Foncier de France.</w:t>
      </w:r>
    </w:p>
    <w:p w14:paraId="4C4C3431" w14:textId="77777777" w:rsidR="003D03C2" w:rsidRDefault="00000000">
      <w:r>
        <w:t>The aim of this structure is to cover all of the Groups operational or functional units over a reasonable number of fiscal years, according to the associated risk, and to achieve efficiency between the various complementary audits conducted by the Internal Audits teams of Group entities.</w:t>
      </w:r>
    </w:p>
    <w:p w14:paraId="227B2AEC" w14:textId="77777777" w:rsidR="003D03C2" w:rsidRDefault="00000000">
      <w:r>
        <w:t>This charter is implemented via thematic standards audit resources, audit assignments, recommendations, risk assessment, etc.</w:t>
      </w:r>
    </w:p>
    <w:p w14:paraId="6A2A6185" w14:textId="77777777" w:rsidR="003D03C2" w:rsidRDefault="00000000">
      <w:r>
        <w:t>The rules governing oversight of the inspection function between Natixis and the central institution fall within the framework of the Groups Internal Audit function.</w:t>
      </w:r>
    </w:p>
    <w:p w14:paraId="76EC1796" w14:textId="77777777" w:rsidR="003D03C2" w:rsidRDefault="00000000">
      <w:r>
        <w:t>In addition to improving the reporting and use of the Retail Risk Assessment, the division also participated in the development of expert risk assessment for scopes other than Retail and Natixis CIB, as well as in the drafting of an operating procedure for the breakdown of the auditable universe of Group Internal Audit.</w:t>
      </w:r>
    </w:p>
    <w:p w14:paraId="5A51C163" w14:textId="77777777" w:rsidR="003D03C2" w:rsidRDefault="00000000">
      <w:r>
        <w:t>It provides Group institutions with references to assess the size and skills of their internal audit staff with regard to their specific needs, in order to carry out their multi-year audit plan based on a risk-based approach.</w:t>
      </w:r>
    </w:p>
    <w:p w14:paraId="0D74E263" w14:textId="77777777" w:rsidR="003D03C2" w:rsidRDefault="00000000">
      <w:r>
        <w:t>The activity of the Business Projects team focused on the finalization of the initial OMEGA project audit activity management tool, in particular on the delivery of lot 3 Missions module.</w:t>
      </w:r>
    </w:p>
    <w:p w14:paraId="581DA743" w14:textId="77777777" w:rsidR="003D03C2" w:rsidRDefault="00000000">
      <w:r>
        <w:lastRenderedPageBreak/>
        <w:t>The plan is in line with European regulatory measures on the recovery and resolution of credit institutions and investment firms, and with the provisions of the French Monetary and Financial Code.</w:t>
      </w:r>
    </w:p>
    <w:p w14:paraId="04A69122" w14:textId="77777777" w:rsidR="003D03C2" w:rsidRDefault="00000000">
      <w:r>
        <w:t>These regulations were reinforced following the introduction of Basel III, with an increase in the level of regulatory capital requirements and the introduction of new risk categories.</w:t>
      </w:r>
    </w:p>
    <w:p w14:paraId="051A6606" w14:textId="77777777" w:rsidR="003D03C2" w:rsidRDefault="00000000">
      <w:r>
        <w:t>These requirements both qualitative and quantitative are intended to improve financial transparency in the assessment of exposure to risks, risk assessment procedures and capital adequacy.</w:t>
      </w:r>
    </w:p>
    <w:p w14:paraId="60C8AF26" w14:textId="77777777" w:rsidR="003D03C2" w:rsidRDefault="00000000">
      <w:r>
        <w:t>The assessment is thus carried out using two different approaches, a normative approach aimed at measuring the impact of internal stress tests within three years of the initial Pillar I regulatory position.</w:t>
      </w:r>
    </w:p>
    <w:p w14:paraId="0DF41CC6" w14:textId="77777777" w:rsidR="003D03C2" w:rsidRDefault="00000000">
      <w:r>
        <w:t>Credit risk management CREDIT POLICY The overall credit risk policy is governed in particular by the risk appetite system, structured around the definition of the level of risk and risk appetite indicators.</w:t>
      </w:r>
    </w:p>
    <w:p w14:paraId="690094D8" w14:textId="77777777" w:rsidR="003D03C2" w:rsidRDefault="00000000">
      <w:r>
        <w:t>Compliance with regulatory and internal caps and limits is regularly checked by the Group Risk and Compliance Committee and the Risk Committees of the Supervisory Board.</w:t>
      </w:r>
    </w:p>
    <w:p w14:paraId="565B1628" w14:textId="77777777" w:rsidR="003D03C2" w:rsidRDefault="00000000">
      <w:r>
        <w:t>Each institution is responsible for ensuring compliance with internal limits.</w:t>
      </w:r>
    </w:p>
    <w:p w14:paraId="7F6DE7C0" w14:textId="77777777" w:rsidR="003D03C2" w:rsidRDefault="00000000">
      <w:r>
        <w:t>On behalf of the Group Risk and Compliance Committee, the Risk division measures and verifies that these risk supervision mechanisms individual and topical limits are correctly implemented at each institution.</w:t>
      </w:r>
    </w:p>
    <w:p w14:paraId="3660AE2E" w14:textId="77777777" w:rsidR="003D03C2" w:rsidRDefault="00000000">
      <w:r>
        <w:t>IFRS 9 inputs, aim to provide an accurate estimate of expected credit losses for accounting provision purposes, whereas prudential inputs are more cautious for regulatory framework purposes.</w:t>
      </w:r>
    </w:p>
    <w:p w14:paraId="3606F719" w14:textId="77777777" w:rsidR="003D03C2" w:rsidRDefault="00000000">
      <w:r>
        <w:t>Permanent control of credit risks According to the principle of subsidiarity, the local Risk divisions are responsible for compliance with the permanent control system deployment, implementation, analysis of results and action plans.</w:t>
      </w:r>
    </w:p>
    <w:p w14:paraId="4442527F" w14:textId="77777777" w:rsidR="003D03C2" w:rsidRDefault="00000000">
      <w:r>
        <w:t>Monitoring and control, based on a risk-based approach, covers, The Group Credit Risk department works with other departments of the Group Risk division to coordinate, standardize, manage and monitor the credit risk management adequate coverage of credit risks by controls based in particular on the assessment of credit risks in the macro-risk mapping.</w:t>
      </w:r>
    </w:p>
    <w:p w14:paraId="3F63B8DD" w14:textId="77777777" w:rsidR="003D03C2" w:rsidRDefault="00000000">
      <w:r>
        <w:t>The resulting risk metrics are then used to calculate capital requirements once they have been validated by the supervisory authority in compliance with regulatory requirements.</w:t>
      </w:r>
    </w:p>
    <w:p w14:paraId="6FB7D13F" w14:textId="77777777" w:rsidR="003D03C2" w:rsidRDefault="00000000">
      <w:r>
        <w:t xml:space="preserve">In performing this duty, the Group Risk division relies on robust governance After the completion of this governance process, internal control reports and statements of decisions </w:t>
      </w:r>
      <w:r>
        <w:lastRenderedPageBreak/>
        <w:t>are made available to Group management and supervisory authorities for internal models used to determine capital requirements.</w:t>
      </w:r>
    </w:p>
    <w:p w14:paraId="79E34B5B" w14:textId="77777777" w:rsidR="003D03C2" w:rsidRDefault="00000000">
      <w:r>
        <w:t>These include the TRIM Targeted Review of Internal Models, aimed at assessing the regulatory compliance of internal models specifically targeted by the ECB.</w:t>
      </w:r>
    </w:p>
    <w:p w14:paraId="1FCECA70" w14:textId="77777777" w:rsidR="003D03C2" w:rsidRDefault="00000000">
      <w:r>
        <w:t>SEC-SA Securitization Standardized Approach, this method is the last chance to use a formula defined by the supervisor, using as an input the capital requirements that would be calculated under the current Standardized Approach calculates regulatory capital requirements in relation to underlying exposures based on their class and then applies the ratio of defaulted underlying exposures to the total amount of underlying exposures.</w:t>
      </w:r>
    </w:p>
    <w:p w14:paraId="5B38DF36" w14:textId="77777777" w:rsidR="003D03C2" w:rsidRDefault="00000000">
      <w:r>
        <w:t>Its proper functioning is ensured by an FCT management company France Titrisation or EuroTitrisation, together with a custodian, GFS, in compliance with the regulations of the FCT.</w:t>
      </w:r>
    </w:p>
    <w:p w14:paraId="2FD8011F" w14:textId="77777777" w:rsidR="003D03C2" w:rsidRDefault="00000000">
      <w:r>
        <w:t>The risk management framework related to this activity is defined in accordance with investment policies and is reviewed annually.</w:t>
      </w:r>
    </w:p>
    <w:p w14:paraId="0CAFC853" w14:textId="77777777" w:rsidR="003D03C2" w:rsidRDefault="00000000">
      <w:r>
        <w:t>It is tasked with the following duties, Management Risk measurement, establishing the principles of market risk measurement, which are then validated by the various appropriate Risk Committees.</w:t>
      </w:r>
    </w:p>
    <w:p w14:paraId="4EA4C542" w14:textId="77777777" w:rsidR="003D03C2" w:rsidRDefault="00000000">
      <w:r>
        <w:t>Definition and oversight of limits, examining the limit framework and setting limits global caps and, where necessary, operational limits adopted by the various appropriate Risk Committees, as part of the comprehensive Risk Management process.</w:t>
      </w:r>
    </w:p>
    <w:p w14:paraId="22305C28" w14:textId="77777777" w:rsidR="003D03C2" w:rsidRDefault="00000000">
      <w:r>
        <w:t>The Valuation Team is responsible for, measuring regulatory requirements and implementing said requirements while assessing their impacts on the production and verification of new indicators.</w:t>
      </w:r>
    </w:p>
    <w:p w14:paraId="344C2294" w14:textId="77777777" w:rsidR="003D03C2" w:rsidRDefault="00000000">
      <w:r>
        <w:t>Close monitoring of market activities was continued during this period to ensure that changes in exposures following market movements remained in line with the risk appetite and the regulatory framework.</w:t>
      </w:r>
    </w:p>
    <w:p w14:paraId="67D75C82" w14:textId="77777777" w:rsidR="003D03C2" w:rsidRDefault="00000000">
      <w:r>
        <w:t>These risks are closely monitored by the Group and its institutions to secure immediate and future income, balance the balance sheets and promote the Groups development.</w:t>
      </w:r>
    </w:p>
    <w:p w14:paraId="6FF07E01" w14:textId="0F7F0C1E" w:rsidR="003D03C2" w:rsidRDefault="00000000">
      <w:r>
        <w:t>Each year, Supervisory Board of Groupe BPCE validates the main lines of the ALM policy</w:t>
      </w:r>
      <w:r w:rsidR="00404E2C">
        <w:t xml:space="preserve"> t</w:t>
      </w:r>
      <w:r>
        <w:t>he principles of market risk measurements and levels of risk tolerance.</w:t>
      </w:r>
    </w:p>
    <w:p w14:paraId="781EEDD6" w14:textId="77777777" w:rsidR="003D03C2" w:rsidRDefault="00000000">
      <w:r>
        <w:t>Each quarter, the Audit Committee of Groupe BPCE is informed of the Groups position through management reports containing the main risk indicators.</w:t>
      </w:r>
    </w:p>
    <w:p w14:paraId="55972626" w14:textId="77777777" w:rsidR="003D03C2" w:rsidRDefault="00000000">
      <w:r>
        <w:t>Compliance with the liquidity budget allocated to each entity makes it possible to ensure that the market footprint target set by the Group is correctly sized and to adapt, where necessary, the business line projections.</w:t>
      </w:r>
    </w:p>
    <w:p w14:paraId="229F5FF1" w14:textId="77777777" w:rsidR="003D03C2" w:rsidRDefault="00000000">
      <w:r>
        <w:lastRenderedPageBreak/>
        <w:t>This regulatory approach is complemented by an internal economic approach consisting of measuring the liquidity gap over a 10-year horizon.</w:t>
      </w:r>
    </w:p>
    <w:p w14:paraId="573055C0" w14:textId="77777777" w:rsidR="003D03C2" w:rsidRDefault="00000000">
      <w:r>
        <w:t>They make it possible to ensure the correct balance between the Groups liquidity reserve and changes in the net liquidity position under stress, as well as the ability to comply with regulatory requirements.</w:t>
      </w:r>
    </w:p>
    <w:p w14:paraId="74567F3D" w14:textId="77777777" w:rsidR="003D03C2" w:rsidRDefault="00000000">
      <w:r>
        <w:t>The system is designed to ensure the transparency and consistency of internal prices, guaranteeing fluid liquidity management between the Groups institutions.</w:t>
      </w:r>
    </w:p>
    <w:p w14:paraId="355C34DB" w14:textId="77777777" w:rsidR="003D03C2" w:rsidRDefault="00000000">
      <w:r>
        <w:t>The respective changes in the liquidity costs of customer deposits and market resources are taken into account in order to ensure the balanced and profitable development of all activities in the Groups various business lines.</w:t>
      </w:r>
    </w:p>
    <w:p w14:paraId="2D648C67" w14:textId="77777777" w:rsidR="003D03C2" w:rsidRDefault="00000000">
      <w:r>
        <w:t>Adequacy of the institutions liquidity risk management systems The Group continues to focus on improving risk monitoring through a detailed mapping of liquidity risks and on optimizing the tools and procedures to manage the Groups liquidity position and its balance sheet, on a constant basis, in order to be able to cope with new crises, should they occur.</w:t>
      </w:r>
    </w:p>
    <w:p w14:paraId="056B12E7" w14:textId="77777777" w:rsidR="003D03C2" w:rsidRDefault="00000000">
      <w:r>
        <w:t>In general, fixed rate is swapped into floating rate in accordance with the Groups interest rate risk management policy.</w:t>
      </w:r>
    </w:p>
    <w:p w14:paraId="77C0E655" w14:textId="77777777" w:rsidR="003D03C2" w:rsidRDefault="00000000">
      <w:r>
        <w:t>CONCLUSION In order to have an issuance strategy integrating all debt instruments and themes, an internal reorganization within the Finance department was announced at the end of 2023.</w:t>
      </w:r>
    </w:p>
    <w:p w14:paraId="3E51307B" w14:textId="77777777" w:rsidR="003D03C2" w:rsidRDefault="00000000">
      <w:r>
        <w:t>The ESF Emissions and Financial Solutions department was created to centralize all players involved in MLT Funding in a single team.</w:t>
      </w:r>
    </w:p>
    <w:p w14:paraId="4BBDC436" w14:textId="77777777" w:rsidR="003D03C2" w:rsidRDefault="00000000">
      <w:r>
        <w:t>These indicators are used to validate the main balance sheet aggregates to ensure the sustainability of the financial results achieved.</w:t>
      </w:r>
    </w:p>
    <w:p w14:paraId="4A1D2A2D" w14:textId="77777777" w:rsidR="003D03C2" w:rsidRDefault="00000000">
      <w:r>
        <w:t>In addition to the SOT EVE SOT, standard outlier test regulatory indicator, which measures sensitivity to interest rate shocks of +-200 basis points, the Group has introduced an internal Economic Value of Equity The dynamic approach in terms of sensitivity of future revenues is reinforced by a multi-scenario vision allowing a broader approach by taking into account the uncertainties related to business forecasts new activity and changes in customer behavior, possible changes in commercial margin, etc.</w:t>
      </w:r>
    </w:p>
    <w:p w14:paraId="5BE7E307" w14:textId="77777777" w:rsidR="003D03C2" w:rsidRDefault="00000000">
      <w:r>
        <w:t>Foreign exchange risk oversight and management system For Groupe BPCE excluding Natixis, foreign exchange risk is monitored using regulatory indicators measuring corresponding capital adequacy requirements by entity.</w:t>
      </w:r>
    </w:p>
    <w:p w14:paraId="69FD65D9" w14:textId="77777777" w:rsidR="003D03C2" w:rsidRDefault="00000000">
      <w:r>
        <w:t>The Group Compliance division carries out its duties within the framework of business line operations.</w:t>
      </w:r>
    </w:p>
    <w:p w14:paraId="39391BA9" w14:textId="77777777" w:rsidR="003D03C2" w:rsidRDefault="00000000">
      <w:r>
        <w:lastRenderedPageBreak/>
        <w:t>The compliance officers appointed within the different Group entities, including the Banque Populaire and Caisse dEpargne banks and direct subsidiaries covered by the regulatory system of banking and financial supervision, are functionally subordinate to the Compliance division.</w:t>
      </w:r>
    </w:p>
    <w:p w14:paraId="5EE6F676" w14:textId="77777777" w:rsidR="003D03C2" w:rsidRDefault="00000000">
      <w:r>
        <w:t>As such, it builds and revises the standards proposed for the governance of Groupe BPCE, shares best practices and coordinates working groups consisting of departmental representatives.</w:t>
      </w:r>
    </w:p>
    <w:p w14:paraId="5D8A056D" w14:textId="77777777" w:rsidR="003D03C2" w:rsidRDefault="00000000">
      <w:r>
        <w:t>The Group Compliance division carries out all actions designed to strengthen the compliance of products, services and marketing processes, customer protection, compliance with ethical rules, the fight against money laundering and the financing of terrorism, the fight against market abuse, the monitoring of transactions and compliance with sanctions and embargoes.</w:t>
      </w:r>
    </w:p>
    <w:p w14:paraId="12FF0A68" w14:textId="77777777" w:rsidR="003D03C2" w:rsidRDefault="00000000">
      <w:r>
        <w:t>The dissemination of the culture of non-compliance risk and consideration of the legitimate interests of customers is also reflected in the training of employees in the sector and the awareness-raising of other BPCE departments.</w:t>
      </w:r>
    </w:p>
    <w:p w14:paraId="5D3EE928" w14:textId="77777777" w:rsidR="003D03C2" w:rsidRDefault="00000000">
      <w:r>
        <w:t>Accordingly, the Group Compliance division, draws up the Groups non-compliance risk management systems risk mapping and DMR and supervises the permanent control system relating to non-compliance risks.</w:t>
      </w:r>
    </w:p>
    <w:p w14:paraId="51839845" w14:textId="77777777" w:rsidR="003D03C2" w:rsidRDefault="00000000">
      <w:r>
        <w:t>Paying particular attention to all issues relating to compliance with customer protection rules, these two departments participate in the implementation of regulatory changes and projects having an impact on the methods of marketing the products and services under their scopes.</w:t>
      </w:r>
    </w:p>
    <w:p w14:paraId="407568C2" w14:textId="77777777" w:rsidR="003D03C2" w:rsidRDefault="00000000">
      <w:r>
        <w:t>They also provide training and coordination for the Compliance function and monitor the compliance systems deployed within the institutions.</w:t>
      </w:r>
    </w:p>
    <w:p w14:paraId="73409E35" w14:textId="77777777" w:rsidR="003D03C2" w:rsidRDefault="00000000">
      <w:r>
        <w:t>Financial Savings Compliance also includes oversight of investment services and the operating procedures of investment services compliance ofﬁcers RCSIs.</w:t>
      </w:r>
    </w:p>
    <w:p w14:paraId="11025F40" w14:textId="77777777" w:rsidR="003D03C2" w:rsidRDefault="00000000">
      <w:r>
        <w:t>It also covers the supervision and management of Groupe BPCEs Conduct and Ethics systems, including the conﬂicts of interest system, employee ethics gifts, beneﬁts and external interests, staff training related to conduct and ethics and the whistleblower system.</w:t>
      </w:r>
    </w:p>
    <w:p w14:paraId="230CE7CE" w14:textId="77777777" w:rsidR="003D03C2" w:rsidRDefault="00000000">
      <w:r>
        <w:t>Product governance and supervision Non-compliance risks are analyzed, measured, monitored and managed in accordance with the Ministerial Order of November 3, 2014 amended February 25, 2021, with the aim of, ensuring a permanent overview of these risks and the associated risk prevention and mitigation system, including updated identification under the new non-compliance risk-mapping exercise.</w:t>
      </w:r>
    </w:p>
    <w:p w14:paraId="41257D3D" w14:textId="77777777" w:rsidR="003D03C2" w:rsidRDefault="00000000">
      <w:r>
        <w:t>Groupe BPCE manages non-compliance risk by mapping out its non-compliance risks and implementing mandatory Level 1 and 2 compliance controls common to all Group retail banking institutions.</w:t>
      </w:r>
    </w:p>
    <w:p w14:paraId="564257DD" w14:textId="77777777" w:rsidR="003D03C2" w:rsidRDefault="00000000">
      <w:r>
        <w:lastRenderedPageBreak/>
        <w:t>The impact of non-compliance risk was calibrated and measured with the Groups operational risk teams, using the methodology of operational risk tool OSIRISK, covering the risk management systems established by the institutions aimed at reducing gross risk levels.</w:t>
      </w:r>
    </w:p>
    <w:p w14:paraId="4A3196CC" w14:textId="77777777" w:rsidR="003D03C2" w:rsidRDefault="00000000">
      <w:r>
        <w:t>The purpose of this review is to ensure that applicable regulatory requirements are met and that targeted customers and the public at large receive clear and fair information.</w:t>
      </w:r>
    </w:p>
    <w:p w14:paraId="6B72DDF5" w14:textId="77777777" w:rsidR="003D03C2" w:rsidRDefault="00000000">
      <w:r>
        <w:t>In addition, compliance ensures that conflicts of interest are identified, managed and supervised, and that the primacy of customers interests is taken into account when making decisions.</w:t>
      </w:r>
    </w:p>
    <w:p w14:paraId="30B9F5A5" w14:textId="77777777" w:rsidR="003D03C2" w:rsidRDefault="00000000">
      <w:r>
        <w:t>Off-balance sheet deposits and savings, Regarding customer protection, the Group continued work to bring its customer processes into compliance LEA, O2S, legal entities, derivatives, tax exemption in accordance with MIF2 requirements, as part of the Groups remediation on life insurance marketing, following the ACPR audit started in 2019, the work initiated in 2022 continued in 2023 for solutions to be implemented in 2023 and 2024.</w:t>
      </w:r>
    </w:p>
    <w:p w14:paraId="69117529" w14:textId="77777777" w:rsidR="003D03C2" w:rsidRDefault="00000000">
      <w:r>
        <w:t>The Program has generated several Group standards to incorporate new regulations relating to sustainable finance and related to the marketing of financial savings, in particular on customer knowledge, financial savings advice, information for customers or product governance, customer knowledge and financial savings advice, information for customers, product governance… Concerning market integrity and transparency, A project relating to the EMIR-REFIT 2 regulation has been launched at Group level to comply with the new transaction reporting requirements that will come into force in April 2024.</w:t>
      </w:r>
    </w:p>
    <w:p w14:paraId="5DC884E7" w14:textId="77777777" w:rsidR="003D03C2" w:rsidRDefault="00000000">
      <w:r>
        <w:t>Work has been carried out to improve the reliability of data as part of regulatory reporting EMIR, SFTR, etc.</w:t>
      </w:r>
    </w:p>
    <w:p w14:paraId="709F780B" w14:textId="77777777" w:rsidR="003D03C2" w:rsidRDefault="00000000">
      <w:r>
        <w:t>These training sessions are aimed at promoting awareness of compliance and customer protection among new hires andor sales team employees.</w:t>
      </w:r>
    </w:p>
    <w:p w14:paraId="30CD2DF1" w14:textId="77777777" w:rsidR="003D03C2" w:rsidRDefault="00000000">
      <w:r>
        <w:t>Ethics and compliance training, entitled Fundamentals of professional ethics, has been set up for all Group employees.</w:t>
      </w:r>
    </w:p>
    <w:p w14:paraId="4A683843" w14:textId="77777777" w:rsidR="003D03C2" w:rsidRDefault="00000000">
      <w:r>
        <w:t>The Group Compliance division that these risks are taken into account during the approval has a dedicated department that oversees the sector, defines procedure for new commercial products and services by BPCE.</w:t>
      </w:r>
    </w:p>
    <w:p w14:paraId="1B4347A5" w14:textId="77777777" w:rsidR="003D03C2" w:rsidRDefault="00000000">
      <w:r>
        <w:t>It provides continuous and consolidated oversight of information system security, along with technical and regulatory oversight.</w:t>
      </w:r>
    </w:p>
    <w:p w14:paraId="7F204E98" w14:textId="77777777" w:rsidR="003D03C2" w:rsidRDefault="00000000">
      <w:r>
        <w:t>Moreover, new employee awareness-raising and training campaigns were launched, phishing test, phishing awareness campaign and support for employees in situations of repeated failure.</w:t>
      </w:r>
    </w:p>
    <w:p w14:paraId="15740C44" w14:textId="77777777" w:rsidR="003D03C2" w:rsidRDefault="00000000">
      <w:r>
        <w:lastRenderedPageBreak/>
        <w:t>It provides continuous and consolidated oversight of its area of activity, along with technical and regulatory oversight.</w:t>
      </w:r>
    </w:p>
    <w:p w14:paraId="20074786" w14:textId="77777777" w:rsidR="003D03C2" w:rsidRDefault="00000000">
      <w:r>
        <w:t>Operational risk oversight MAPPING The operational risk management system relies on a mapping process which is updated annually by all Group entities.</w:t>
      </w:r>
    </w:p>
    <w:p w14:paraId="524FA9B5" w14:textId="77777777" w:rsidR="003D03C2" w:rsidRDefault="00000000">
      <w:r>
        <w:t>Highlights In addition, with the aim of improving risk management, work has been initiated to identify levers changes in procedures, integration of IT workflows, strengthening of training, etc.</w:t>
      </w:r>
    </w:p>
    <w:p w14:paraId="552E7046" w14:textId="77777777" w:rsidR="003D03C2" w:rsidRDefault="00000000">
      <w:r>
        <w:t>These systems comply with the regulatory requirements in effect since January 1, 2016 with the application of the Solvency II directive Pillar I Quantitative Solvency Requirements, Pillar II Governance &amp; ORSA, and Pillar III Prudential Reporting and Public Information.</w:t>
      </w:r>
    </w:p>
    <w:p w14:paraId="7196205E" w14:textId="77777777" w:rsidR="003D03C2" w:rsidRDefault="00000000">
      <w:r>
        <w:t>The latter identifies the macro-objectives and stakeholders within the Group.</w:t>
      </w:r>
    </w:p>
    <w:p w14:paraId="2764A86A" w14:textId="77777777" w:rsidR="003D03C2" w:rsidRDefault="00000000">
      <w:r>
        <w:t>More generally, the Non-Banking Equity Risk department provides its quantitative and methodological expertise on the risks of non-banking activities, to support or challenge work carried out by the business lines andor the Group actuarial expertise, company ALM topics, EBA stress tests, quantification of the impact of physical climate risk, etc.</w:t>
      </w:r>
    </w:p>
    <w:p w14:paraId="5B9DC47F" w14:textId="77777777" w:rsidR="003D03C2" w:rsidRDefault="00000000">
      <w:r>
        <w:t>Based on the regulatory definition, the Group distinguishes between two types of model risk, model uncertainty is the risk inherent in the quantitative method, system or approach used to approximate or represent the observation.</w:t>
      </w:r>
    </w:p>
    <w:p w14:paraId="4E881BBF" w14:textId="77777777" w:rsidR="003D03C2" w:rsidRDefault="00000000">
      <w:r>
        <w:t>An charge of risks by delegation, is dedicated to the MRM risk management policy has been defined for this governancesupervision of the models and the associated risk.</w:t>
      </w:r>
    </w:p>
    <w:p w14:paraId="569D3F88" w14:textId="77777777" w:rsidR="003D03C2" w:rsidRDefault="00000000">
      <w:r>
        <w:t>The information strategy and processes and Governance below is largely presented in this section is summarized, the detailed version taken from Chapter 2 Non-Financial Performance Statement can be found in Chapter 2.</w:t>
      </w:r>
    </w:p>
    <w:p w14:paraId="699B39BE" w14:textId="77777777" w:rsidR="003D03C2" w:rsidRDefault="00000000">
      <w:r>
        <w:t>The Groups companies have all strengthened their systems to support the transition of their various customer categories and climate issues are now inseparable from the activity of the business lines.</w:t>
      </w:r>
    </w:p>
    <w:p w14:paraId="0303191A" w14:textId="77777777" w:rsidR="003D03C2" w:rsidRDefault="00000000">
      <w:r>
        <w:t>It is both a development opportunity for our activities and a tremendous lever for the transformation of our business lines.</w:t>
      </w:r>
    </w:p>
    <w:p w14:paraId="28E69D37" w14:textId="77777777" w:rsidR="003D03C2" w:rsidRDefault="00000000">
      <w:r>
        <w:t>This inclusive approach aims to ensure that the transition to more sustainable models is fair, protecting vulnerable populations and promoting economic inclusion.</w:t>
      </w:r>
    </w:p>
    <w:p w14:paraId="322A0540" w14:textId="77777777" w:rsidR="003D03C2" w:rsidRDefault="00000000">
      <w:r>
        <w:t>Groupe BPCEs ESG strategy is structured around three focuses, Focus 1, Meeting the expectations of civil society by promoting inclusion, solidarity, and active sponsorship, but also by encouraging open and constructive relations with all its stakeholders see Chapter 2.</w:t>
      </w:r>
    </w:p>
    <w:p w14:paraId="1118308F" w14:textId="77777777" w:rsidR="003D03C2" w:rsidRDefault="00000000">
      <w:r>
        <w:t>Focus 2, Becoming a major player in the environmental transition by making climate issues a priority for all its business lines and all its companies.</w:t>
      </w:r>
    </w:p>
    <w:p w14:paraId="680B9C4A" w14:textId="77777777" w:rsidR="003D03C2" w:rsidRDefault="00000000">
      <w:r>
        <w:lastRenderedPageBreak/>
        <w:t>Groupe BPCEs objective is to align all of its portfolios on a Net Zero trajectory, to support all its customers in their environmental transition and to accelerate the reduction of its carbon footprint see Chapter 2.</w:t>
      </w:r>
    </w:p>
    <w:p w14:paraId="2077A185" w14:textId="77777777" w:rsidR="003D03C2" w:rsidRDefault="00000000">
      <w:r>
        <w:t>For this, Groupe BPCE has set itself four major objectives, committing to a long-term change in its balance sheet as part of a strategy to mitigate the climate impact of its activities and assets whether financed, invested, or insured.</w:t>
      </w:r>
    </w:p>
    <w:p w14:paraId="287C2E9B" w14:textId="77777777" w:rsidR="003D03C2" w:rsidRDefault="00000000">
      <w:r>
        <w:t>Focus 3, Designing the future of work by offering its employees and future employees a suitable hybrid work environment to effectively deploy remote working.</w:t>
      </w:r>
    </w:p>
    <w:p w14:paraId="3F14A821" w14:textId="77777777" w:rsidR="003D03C2" w:rsidRDefault="00000000">
      <w:r>
        <w:t>The Group also wants to develop its employees, talents, and young employees, by supporting them in dedicated training circuits.</w:t>
      </w:r>
    </w:p>
    <w:p w14:paraId="1682E031" w14:textId="77777777" w:rsidR="003D03C2" w:rsidRDefault="00000000">
      <w:r>
        <w:t>At the same time, Groupe BPCE continues to promote diversity in management positions see Chapter 2.</w:t>
      </w:r>
    </w:p>
    <w:p w14:paraId="35DF885A" w14:textId="77777777" w:rsidR="003D03C2" w:rsidRDefault="00000000">
      <w:r>
        <w:t>As part of this social, active, and responsible strategy, in 2023, Groupe BPCE continued to implement the four HR strategic areas included in the BPCE 2024 strategic plan, new challenges in terms of skills to be leading bankers and insurers in their region.</w:t>
      </w:r>
    </w:p>
    <w:p w14:paraId="5B7EA249" w14:textId="77777777" w:rsidR="003D03C2" w:rsidRDefault="00000000">
      <w:r>
        <w:t>This approach is reflected in the adoption of 12 Corporate Social Responsibility commitments.</w:t>
      </w:r>
    </w:p>
    <w:p w14:paraId="2424B033" w14:textId="77777777" w:rsidR="003D03C2" w:rsidRDefault="00000000">
      <w:r>
        <w:t>To ensure the monitoring and evaluation of these commitments, the Group has set up performance indicators, revised and communicated annually through a CSR dashboard, which provides our stakeholders with quantified and transparent information on the Groups non-financial performance.</w:t>
      </w:r>
    </w:p>
    <w:p w14:paraId="2E885AA9" w14:textId="77777777" w:rsidR="003D03C2" w:rsidRDefault="00000000">
      <w:r>
        <w:t>The Group has adopted an approach of alignment of its financing and insurance portfolios with a view to achieving carbon neutrality by 2050.</w:t>
      </w:r>
    </w:p>
    <w:p w14:paraId="400ADFD5" w14:textId="77777777" w:rsidR="003D03C2" w:rsidRDefault="00000000">
      <w:r>
        <w:t>This initiative represents the Groups contribution to achieving the objectives of the Paris Climate Agreement, thus requiring the development of specific indicator methodologies and the establishment of intermediate targets.</w:t>
      </w:r>
    </w:p>
    <w:p w14:paraId="7C39D16E" w14:textId="77777777" w:rsidR="003D03C2" w:rsidRDefault="00000000">
      <w:r>
        <w:t>In 2022, BPCE Assurances became a member of the Net Zero Asset Owner Alliance, an international group of investors committed to the transition of their investment portfolio with the aim of contributing to carbon neutrality by 2050.</w:t>
      </w:r>
    </w:p>
    <w:p w14:paraId="51246E1C" w14:textId="77777777" w:rsidR="003D03C2" w:rsidRDefault="00000000">
      <w:r>
        <w:t>In December 2022, Groupe BPCE published intermediate alignment targets for two sectors among those with the highest emissions, electricity production and the oil &amp; gas sector.</w:t>
      </w:r>
    </w:p>
    <w:p w14:paraId="7DA0F977" w14:textId="77777777" w:rsidR="003D03C2" w:rsidRDefault="00000000">
      <w:r>
        <w:t>For each sector, the intermediate carbon emission reduction targets, reduction trajectories, action plans and associated measures are detailed in the Groups TCFD report.</w:t>
      </w:r>
    </w:p>
    <w:p w14:paraId="238F4D82" w14:textId="77777777" w:rsidR="003D03C2" w:rsidRDefault="00000000">
      <w:r>
        <w:t>These objectives are also contingent on current government policies and the development of low-carbon technologies, which are critical for long-term horizons.</w:t>
      </w:r>
    </w:p>
    <w:p w14:paraId="4B9D30B1" w14:textId="77777777" w:rsidR="003D03C2" w:rsidRDefault="00000000">
      <w:r>
        <w:lastRenderedPageBreak/>
        <w:t>As such, in addition to the measures taken for the climate, the Group is committed to taking concrete measures to preserve biodiversity, in particular by adopting policies and practices aimed at reducing the negative impact on ecosystems, by promoting biodiversity-friendly investments and working with stakeholders to address biodiversity issues.</w:t>
      </w:r>
    </w:p>
    <w:p w14:paraId="6861E68B" w14:textId="77777777" w:rsidR="003D03C2" w:rsidRDefault="00000000">
      <w:r>
        <w:t>Through its subsidiary Natixis SA, Groupe BPCE participates in Act4Nature, a global coalition of companies and organizations committed to protecting biodiversity.</w:t>
      </w:r>
    </w:p>
    <w:p w14:paraId="0ED64016" w14:textId="77777777" w:rsidR="003D03C2" w:rsidRDefault="00000000">
      <w:r>
        <w:t>Several affiliates have developed dedicated non-financial research capabilities and have integrated sustainability criteria into their investment decision-making models.</w:t>
      </w:r>
    </w:p>
    <w:p w14:paraId="4C653A73" w14:textId="77777777" w:rsidR="003D03C2" w:rsidRDefault="00000000">
      <w:r>
        <w:t>European asset management companies have developed responsible investment policies that explain their overall ESG approach, provide detailed guidance on the integration of environmental factors, and explain their sectoral andor exclusion policies.</w:t>
      </w:r>
    </w:p>
    <w:p w14:paraId="628018EE" w14:textId="77777777" w:rsidR="003D03C2" w:rsidRDefault="00000000">
      <w:r>
        <w:t>The majority of non-European affiliates have developed a global responsible investment approach that formalizes their commitment to integrate material environmental, societal and governance factors into their investment processes.</w:t>
      </w:r>
    </w:p>
    <w:p w14:paraId="6749436B" w14:textId="77777777" w:rsidR="003D03C2" w:rsidRDefault="00000000">
      <w:r>
        <w:t>Since the beginning of 2023, more than 10,000 legal entity customers have been met by our account managers to take stock of their thinking, their management of the challenges and their projects on the environmental, societal and governance dimensions.</w:t>
      </w:r>
    </w:p>
    <w:p w14:paraId="00AC3B5D" w14:textId="77777777" w:rsidR="003D03C2" w:rsidRDefault="00000000">
      <w:r>
        <w:t>Incorporating environmental, social and governance risk management into the risk policies of Natixis CIBs financing and investment business lines is part of a global approach involving the business lines, CSR, and the control functions.</w:t>
      </w:r>
    </w:p>
    <w:p w14:paraId="6A6E09F1" w14:textId="77777777" w:rsidR="003D03C2" w:rsidRDefault="00000000">
      <w:r>
        <w:t>This approach notably includes the development and implementation of CSR policies in the most sensitive sectors, the definition of the excluded business sectors, the evaluation and monitoring of the ESG risks of transactions and counterparties via various tools and processes.</w:t>
      </w:r>
    </w:p>
    <w:p w14:paraId="1A80545F" w14:textId="77777777" w:rsidR="003D03C2" w:rsidRDefault="00000000">
      <w:r>
        <w:t>When a new customer enters into a relationship, a process for identifying environmental and societal risks is put in place as part of the Know Your Client approach, which identifies and assess environmental, social and governance risks.</w:t>
      </w:r>
    </w:p>
    <w:p w14:paraId="48317C14" w14:textId="77777777" w:rsidR="003D03C2" w:rsidRDefault="00000000">
      <w:r>
        <w:t>In accordance with regulations, each asset management subsidiary of Groupe BPCE follows a specific voting policy and makes it available to its stakeholders on their website.</w:t>
      </w:r>
    </w:p>
    <w:p w14:paraId="2D71F49E" w14:textId="77777777" w:rsidR="003D03C2" w:rsidRDefault="00000000">
      <w:r>
        <w:t>Thanks to these voting policies, the Groups asset management companies develop a committed shareholder base whose objective is to positively influence the governance of the companies in which they invest on CSR issues.</w:t>
      </w:r>
    </w:p>
    <w:p w14:paraId="07C213B7" w14:textId="77777777" w:rsidR="003D03C2" w:rsidRDefault="00000000">
      <w:r>
        <w:t>Natixis IMs European asset management companies have developed engagement and voting policies that encourage companies to transform their strategy and reduce their ESG risks, while contributing to environmental and social issues.</w:t>
      </w:r>
    </w:p>
    <w:p w14:paraId="3B7AFD71" w14:textId="77777777" w:rsidR="003D03C2" w:rsidRDefault="00000000">
      <w:r>
        <w:lastRenderedPageBreak/>
        <w:t>As shareholders, the funds managed by Natixis IM affiliates are committed to contributing to the improved performance of companies by taking into account their stakeholders and the environment.</w:t>
      </w:r>
    </w:p>
    <w:p w14:paraId="7859A719" w14:textId="77777777" w:rsidR="003D03C2" w:rsidRDefault="00000000">
      <w:r>
        <w:t>In 2023, the main topics addressed by this committee were, monitoring of the ESG program alignment of portfolios, support for customers, reduction of the Groups own footprint and integration of ESG issues into risk management, the new CSRD regulation, the Responsible employer program, and Conduct and Ethics reporting.</w:t>
      </w:r>
    </w:p>
    <w:p w14:paraId="226C5C20" w14:textId="77777777" w:rsidR="003D03C2" w:rsidRDefault="00000000">
      <w:r>
        <w:t>In 2023, the main topics covered were the publication of the measurement of NZBA trajectories and targets, the review of the indicators of the strategic plan with a Climate focus, the Oil &amp; Gas CSR sector policy, and the monitoring of the Groups ESG program and its actions, particularly in terms of climate and biodiversity.</w:t>
      </w:r>
    </w:p>
    <w:p w14:paraId="3216FCA3" w14:textId="77777777" w:rsidR="003D03C2" w:rsidRDefault="00000000">
      <w:r>
        <w:t>Year after year, Groupe BPCE is making progress in implementing its ESG strategy and strengthening its ESG governance system see Chapter 2.</w:t>
      </w:r>
    </w:p>
    <w:p w14:paraId="36E6B7DB" w14:textId="77777777" w:rsidR="003D03C2" w:rsidRDefault="00000000">
      <w:r>
        <w:t>Promoting respect for human rights in all our activities is thus anchored in the Groups values framework.</w:t>
      </w:r>
    </w:p>
    <w:p w14:paraId="4C2820B4" w14:textId="77777777" w:rsidR="003D03C2" w:rsidRDefault="00000000">
      <w:r>
        <w:t>It ensures that CSR issues are fully integrated into the remuneration policy.</w:t>
      </w:r>
    </w:p>
    <w:p w14:paraId="3A7B728E" w14:textId="77777777" w:rsidR="003D03C2" w:rsidRDefault="00000000">
      <w:r>
        <w:t>In order to raise employee awareness and involve them in the Groups commitment to the fight against global warming, since 2022 the incentive scheme for BPCE SA employees has been partly indexed to the achievement of the Groups strategic objective to reduce its direct footprint.</w:t>
      </w:r>
    </w:p>
    <w:p w14:paraId="2CE69145" w14:textId="77777777" w:rsidR="003D03C2" w:rsidRDefault="00000000">
      <w:r>
        <w:t>In addition, CSR criteria are integrated into Natixis remuneration policy, with, the taking into account of Natixis CSR strategy in determining the annual variable pay of the Chief Executive Officer and the members of the Executive Management Committee.</w:t>
      </w:r>
    </w:p>
    <w:p w14:paraId="245FDC2F" w14:textId="77777777" w:rsidR="003D03C2" w:rsidRDefault="00000000">
      <w:r>
        <w:t>International references are incorporated, such as the UN sustainable development Goals, the United Nations Global Compact, the Equator Principles project financing and the work of the TCFD Task Force for Climate-related Financial Disclosure.</w:t>
      </w:r>
    </w:p>
    <w:p w14:paraId="0C8EC1EE" w14:textId="77777777" w:rsidR="003D03C2" w:rsidRDefault="00000000">
      <w:r>
        <w:t>Groupe BPCEs environmental, social and governance risk management system aims to ensure compliance with the methodological standards and constraints set by this reference framework while still reflecting Groupe BPCEs risk appetite.</w:t>
      </w:r>
    </w:p>
    <w:p w14:paraId="5BB28C8B" w14:textId="77777777" w:rsidR="003D03C2" w:rsidRDefault="00000000">
      <w:r>
        <w:t>In this respect, Groupe BPCEs risk framework includes an Ecosystem risk category, which groups together environmental risks by distinguishing between physical climate risks, transition climate risks, non-climate environmental risk, social risks and governance risks.</w:t>
      </w:r>
    </w:p>
    <w:p w14:paraId="6BC69C77" w14:textId="77777777" w:rsidR="003D03C2" w:rsidRDefault="00000000">
      <w:r>
        <w:t>With this in mind, Groupe BPCE launched a project in 2022 to structure and harmonize the acquisition of data from external suppliers, their processing and provision to the various entities, and to define a specific governance framework for ESG data.</w:t>
      </w:r>
    </w:p>
    <w:p w14:paraId="3D6D779E" w14:textId="77777777" w:rsidR="003D03C2" w:rsidRDefault="00000000">
      <w:r>
        <w:lastRenderedPageBreak/>
        <w:t>The Risk division defines and implements Groupe BPCEs climate risk supervision framework.</w:t>
      </w:r>
    </w:p>
    <w:p w14:paraId="2B92C1F0" w14:textId="77777777" w:rsidR="003D03C2" w:rsidRDefault="00000000">
      <w:r>
        <w:t>The Climate risk division strives to, develop processes and analysis tools to strengthen the management of climate risks physical and transition to better integrate them into the Groups risk appetite framework.</w:t>
      </w:r>
    </w:p>
    <w:p w14:paraId="3826F05A" w14:textId="77777777" w:rsidR="003D03C2" w:rsidRDefault="00000000">
      <w:r>
        <w:t>In order to ensure that climate and environmental risks are taken into account in all these dimensions, the Climate risk division also relies on strong collaboration with stakeholders within Groupe BPCE and, in particular, the other divisions in the Risk, CSR and Finance sectors, the General Secretariat in particular the Compliance and Legal sectors, the Technology and Operations teams, and the business lines.</w:t>
      </w:r>
    </w:p>
    <w:p w14:paraId="48DF7035" w14:textId="77777777" w:rsidR="003D03C2" w:rsidRDefault="00000000">
      <w:r>
        <w:t>This program, in line with Groupe BPCEs climate and environmental commitments, has set itself specific objectives for all business lines and all sectors.</w:t>
      </w:r>
    </w:p>
    <w:p w14:paraId="3EE06DFB" w14:textId="77777777" w:rsidR="003D03C2" w:rsidRDefault="00000000">
      <w:r>
        <w:t>Concretely, this programme is organized around nine major areas governance, risk appetite framework, climate risk measurement ICAAP, financial and market risks, operational risks, credit risks, risk control framework, the dashboard, and data.</w:t>
      </w:r>
    </w:p>
    <w:p w14:paraId="42E81006" w14:textId="77777777" w:rsidR="003D03C2" w:rsidRDefault="00000000">
      <w:r>
        <w:t>The materiality of the risks associated with climate change is assessed by reference to the main risk classes of Pillar I of Basel III, namely credit risk, market risk and operational risk, including non-compliance and reputation risk.</w:t>
      </w:r>
    </w:p>
    <w:p w14:paraId="5BBB87DA" w14:textId="77777777" w:rsidR="003D03C2" w:rsidRDefault="00000000">
      <w:r>
        <w:t>After a review of the transmission channels between climate risk factors and the risks identified in Groupe BPCEs risk taxonomy, the assessment of the materiality of climate risk factors is based on quantitative indicators to support the internal experts assessment of the level of risk materiality.</w:t>
      </w:r>
    </w:p>
    <w:p w14:paraId="44578F96" w14:textId="77777777" w:rsidR="003D03C2" w:rsidRDefault="00000000">
      <w:r>
        <w:t>In particular, Groupe BPCEs risk framework includes the Climate riskTransition risk, Climate riskPhysical risk and Environmental risk excluding climate categories.</w:t>
      </w:r>
    </w:p>
    <w:p w14:paraId="6E2C3BB7" w14:textId="77777777" w:rsidR="003D03C2" w:rsidRDefault="00000000">
      <w:r>
        <w:t>In 2023, transition and physical risks were deemed material Level 1 out of 3 under Groupe BPCEs internal risk framework, while environmental risk excluding climate change was not deemed material Level 0 out of 3.</w:t>
      </w:r>
    </w:p>
    <w:p w14:paraId="31FBCD99" w14:textId="77777777" w:rsidR="003D03C2" w:rsidRDefault="00000000">
      <w:r>
        <w:t>The operational inclusion of ESG criteria in the assessment of credit risk is based in particular on sector ratings making it possible to assess the main environmental issues related to These sectoral notes are intended to fuel exchanges, particularly when granting credit.</w:t>
      </w:r>
    </w:p>
    <w:p w14:paraId="240B32A3" w14:textId="77777777" w:rsidR="003D03C2" w:rsidRDefault="00000000">
      <w:r>
        <w:t>The objective is to provide additional analytical elements in light of regulatory and market changes, so as to better support customers in the transition.</w:t>
      </w:r>
    </w:p>
    <w:p w14:paraId="5CA258B3" w14:textId="77777777" w:rsidR="003D03C2" w:rsidRDefault="00000000">
      <w:r>
        <w:t xml:space="preserve">The borrower is therefore required to, 1 assess the physical risks associated with climate change for most projects, 2 carry out an assessment of the climate transition risks and an </w:t>
      </w:r>
      <w:r>
        <w:lastRenderedPageBreak/>
        <w:t>analysis of less greenhouse gas intensive alternatives for projects with CO2 equivalent emissions of at least 100,000 metric tons per year in total.</w:t>
      </w:r>
    </w:p>
    <w:p w14:paraId="5B31C1CA" w14:textId="77777777" w:rsidR="003D03C2" w:rsidRDefault="00000000">
      <w:r>
        <w:t>This plan defines the procedures and resources that enable it to deal with natural disasters in order to protect employees, assets and key activities and ensure the continuity of essential services.</w:t>
      </w:r>
    </w:p>
    <w:p w14:paraId="1EE43867" w14:textId="77777777" w:rsidR="003D03C2" w:rsidRDefault="00000000">
      <w:r>
        <w:t>For risk assessment purposes, internal analyses are also carried out to identify sites and agencies exposed to climate risks, focusing on France at this stage.</w:t>
      </w:r>
    </w:p>
    <w:p w14:paraId="34548EFA" w14:textId="77777777" w:rsidR="003D03C2" w:rsidRDefault="00000000">
      <w:r>
        <w:t>In accordance with the regulations in force and in line with the system rolled out across Groupe BPCE, BPCE Assurances incorporates climate risks into each stage of the risk management process, from their identification to their assessment and then their mitigation.</w:t>
      </w:r>
    </w:p>
    <w:p w14:paraId="2AFDD235" w14:textId="77777777" w:rsidR="003D03C2" w:rsidRDefault="00000000">
      <w:r>
        <w:t>In terms of investments, this is reflected in the combination of sectoral policies applicable to the thermal coal and oil and gas sectors, as well as a policy of alignment with the Paris Agreements aimed at excluding any investment company rated negative on sustainability, according to Mirovas ESG analysis, from the investment scope.</w:t>
      </w:r>
    </w:p>
    <w:p w14:paraId="6675F65F" w14:textId="77777777" w:rsidR="003D03C2" w:rsidRDefault="00000000">
      <w:r>
        <w:t>To reduce the impact of climate-related claims on the balance sheet, BPCE Assurances transfers a portion of its risks, including climate-related risks, to global reinsurers through various reinsurance treaties.</w:t>
      </w:r>
    </w:p>
    <w:p w14:paraId="5679806A" w14:textId="77777777" w:rsidR="003D03C2" w:rsidRDefault="00000000">
      <w:r>
        <w:t>Finally, to limit the consequences of climate events, work has been initiated to encourage our policyholders to implement adaptation and prevention measures in the face of climate change.</w:t>
      </w:r>
    </w:p>
    <w:p w14:paraId="0E403D8D" w14:textId="77777777" w:rsidR="003D03C2" w:rsidRDefault="00000000">
      <w:r>
        <w:t>Most affiliates have set up systems for measuring the climate risk exposure of their portfolios managed on behalf of their investors, allowing greater transparency of the environmental issues related to their various management offers.</w:t>
      </w:r>
    </w:p>
    <w:p w14:paraId="5185F1EF" w14:textId="77777777" w:rsidR="003D03C2" w:rsidRDefault="00000000">
      <w:r>
        <w:t>Natixis Investment Managers also uses data from external suppliers to calculate and monitor climate risk indicators for its portfolios carbon footprint, exposure to coal, temperature increase.</w:t>
      </w:r>
    </w:p>
    <w:p w14:paraId="1A9F4202" w14:textId="77777777" w:rsidR="003D03C2" w:rsidRDefault="00000000">
      <w:r>
        <w:t>They have been identified by Groupe BPCE as corresponding to loans with climate mitigation objectives.</w:t>
      </w:r>
    </w:p>
    <w:p w14:paraId="6AB3F495" w14:textId="77777777" w:rsidR="003D03C2" w:rsidRDefault="00000000">
      <w:r>
        <w:t>In 2024, in order to better reflect the Groups contribution to climate change mitigation, Groupe BPCE has considered here the assets eligible for the Groupe BPCEs General framework for sustainable emissions andor rated dark green or medium green under Natixis CIBs internal Green Weighting Factor methodology.</w:t>
      </w:r>
    </w:p>
    <w:p w14:paraId="14BAD844" w14:textId="77777777" w:rsidR="003D03C2" w:rsidRDefault="00000000">
      <w:r>
        <w:t xml:space="preserve">In this context, the Group has defined and put in place a permanent control system to ensure the quality of the accounting and financial information in accordance with the requirements defined by the Ministerial Order of November 3, 2014 on internal control and </w:t>
      </w:r>
      <w:r>
        <w:lastRenderedPageBreak/>
        <w:t>all other regulatory obligations relating to the quality of reporting in particular those resulting from the application of CRR 2.</w:t>
      </w:r>
    </w:p>
    <w:p w14:paraId="5F075DE7" w14:textId="77777777" w:rsidR="003D03C2" w:rsidRDefault="00000000">
      <w:r>
        <w:t>Pillar III second-level control system To ensure that the main deferrals published within the Group comply with all requirements, the Group has defined a procedure for assessing deferrals based on strict criteria and which aims to ensure that deferrals are established in a secure production environment and include reliable, clear, useful, and auditable data.</w:t>
      </w:r>
    </w:p>
    <w:p w14:paraId="38AA3F69" w14:textId="77777777" w:rsidR="003D03C2" w:rsidRDefault="00000000">
      <w:r>
        <w:t>SREP gives the prudential authorities a set of harmonized tools to analyze a banks risk profile from four different angles, business model, governance and risk management, risk to capital, and risk to liquidity and funding.</w:t>
      </w:r>
    </w:p>
    <w:p w14:paraId="764F6679" w14:textId="77777777" w:rsidR="003D03C2" w:rsidRDefault="00000000">
      <w:r>
        <w:t>Basel III also establishes minimum requirements for liquidity risk management quantitative ratios, defines measures aimed at limiting procyclicality in the financial system capital buffers that vary according to the economic cycle and reinforces requirements for financial institutions deemed to be systemically important.</w:t>
      </w:r>
    </w:p>
    <w:p w14:paraId="5F1B2D29" w14:textId="77777777" w:rsidR="003D03C2" w:rsidRDefault="00000000">
      <w:r>
        <w:t>These requirements both qualitative and quantitative are intended to improve financial transparency in the assessment of exposure to risks, risk assessment procedures and capital adequacy.</w:t>
      </w:r>
    </w:p>
    <w:p w14:paraId="30A06BD1" w14:textId="77777777" w:rsidR="003D03C2" w:rsidRDefault="00000000">
      <w:r>
        <w:t>However, guaranteed deposits, obligations financières, employee remuneration, liabilities related to the institutions vital activities and interbank liabilities with a maturity of less than seven days must not be affected.</w:t>
      </w:r>
    </w:p>
    <w:p w14:paraId="1554F650" w14:textId="77777777" w:rsidR="003D03C2" w:rsidRDefault="00000000">
      <w:r>
        <w:t>Phase-in Refers to compliance with current solvency requirements, taking into account the transitional period for the implementation of Basel III.</w:t>
      </w:r>
    </w:p>
    <w:sectPr w:rsidR="003D03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722481560">
    <w:abstractNumId w:val="8"/>
  </w:num>
  <w:num w:numId="2" w16cid:durableId="175505845">
    <w:abstractNumId w:val="6"/>
  </w:num>
  <w:num w:numId="3" w16cid:durableId="666372484">
    <w:abstractNumId w:val="5"/>
  </w:num>
  <w:num w:numId="4" w16cid:durableId="1384790232">
    <w:abstractNumId w:val="4"/>
  </w:num>
  <w:num w:numId="5" w16cid:durableId="1497376206">
    <w:abstractNumId w:val="7"/>
  </w:num>
  <w:num w:numId="6" w16cid:durableId="483857925">
    <w:abstractNumId w:val="3"/>
  </w:num>
  <w:num w:numId="7" w16cid:durableId="1912931181">
    <w:abstractNumId w:val="2"/>
  </w:num>
  <w:num w:numId="8" w16cid:durableId="1919434196">
    <w:abstractNumId w:val="1"/>
  </w:num>
  <w:num w:numId="9" w16cid:durableId="181432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3C2"/>
    <w:rsid w:val="00404E2C"/>
    <w:rsid w:val="004F5755"/>
    <w:rsid w:val="00701A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148FA"/>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6909</Words>
  <Characters>39384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2025-08-03T17:03:00Z</dcterms:modified>
  <cp:category/>
</cp:coreProperties>
</file>