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F66F" w14:textId="77777777" w:rsidR="005B7900" w:rsidRDefault="00000000">
      <w:r>
        <w:t>Against this backdrop of change, Crédit Agricole Group’s strategy is to work towards a just climate transition.</w:t>
      </w:r>
    </w:p>
    <w:p w14:paraId="4313C496" w14:textId="77777777" w:rsidR="005B7900" w:rsidRDefault="00000000">
      <w:r>
        <w:t>The achievement of climate targets cannot be separated from the continuous renewal of the commitment to social cohesion, ensuring protection for the most vulnerable economic actors, such as people on low incomes and small businesses made vulnerable by over-demanding clients.</w:t>
      </w:r>
    </w:p>
    <w:p w14:paraId="6869742C" w14:textId="77777777" w:rsidR="005B7900" w:rsidRDefault="00000000">
      <w:r>
        <w:t>With regard to climate, the international consensus on the need to reduce greenhouse gas emissions is driving society to accelerate the advent of low-carbon energy.</w:t>
      </w:r>
    </w:p>
    <w:p w14:paraId="309AB957" w14:textId="77777777" w:rsidR="005B7900" w:rsidRDefault="00000000">
      <w:r>
        <w:t>What needs to be done now is to replace fossil fuel-based production methods with renewable energy sources, and to take major steps to ensure low-energy consumption.</w:t>
      </w:r>
    </w:p>
    <w:p w14:paraId="3AC51406" w14:textId="7303EF44" w:rsidR="005B7900" w:rsidRDefault="00000000">
      <w:r>
        <w:t>Within this framework, analyses are being conducted to take account of the varying levels of expertise, resources and experience of the entities composing the Group with regard to this climate goal, using an approach that ensures methodological consistency at Group level in tandem with the operational effectiveness of these pathways in each of its major business lines financing, investment and insurance.</w:t>
      </w:r>
    </w:p>
    <w:p w14:paraId="359E06B8" w14:textId="77777777" w:rsidR="005B7900" w:rsidRDefault="00000000">
      <w:r>
        <w:t>With this background, Crédit Agricole Group provided itself with extensive resources to define targets and pathways in line with a Net Zero scenario.</w:t>
      </w:r>
    </w:p>
    <w:p w14:paraId="0A7480D6" w14:textId="77777777" w:rsidR="005B7900" w:rsidRDefault="00000000">
      <w:r>
        <w:t>To meet the monitoring requirement for decarbonisation pathways as part of the implementation of the Group’s overall strategy, the steering of Net Zero commitments is integrated into the budget process.</w:t>
      </w:r>
    </w:p>
    <w:p w14:paraId="327F49DD" w14:textId="77777777" w:rsidR="005B7900" w:rsidRDefault="00000000">
      <w:r>
        <w:t>The carbon aspect of financing is monitored according to sector pathways, either in absolute terms or in terms of intensity, with annual targets set on the basis of the 2030 targets announced by the Group.</w:t>
      </w:r>
    </w:p>
    <w:p w14:paraId="58417EFF" w14:textId="77777777" w:rsidR="005B7900" w:rsidRDefault="00000000">
      <w:r>
        <w:t>A dedicated carbon management team has been set up within the Group’s Finance department and is responsible for the budgetary framework and monitoring of the carbon pathways set annually.</w:t>
      </w:r>
    </w:p>
    <w:p w14:paraId="63B1E310" w14:textId="2C19990D" w:rsidR="005B7900" w:rsidRDefault="00000000">
      <w:r>
        <w:t>Its principle is to gradually reallocate the Group’s financing and investment portfolios, in line with the targets of the 2015 Paris Agreement and the base scenarios, including that of the International Energy Agency, to help achieve carbon neutrality by 2050.</w:t>
      </w:r>
    </w:p>
    <w:p w14:paraId="2D09824C" w14:textId="77777777" w:rsidR="005B7900" w:rsidRDefault="00000000">
      <w:r>
        <w:t>Greenhouse Gas emissions linked to its own operations, energy consumption, business travel and its financing, investment, asset management and insurance activities.</w:t>
      </w:r>
    </w:p>
    <w:p w14:paraId="60D85E0C" w14:textId="3913C2D0" w:rsidR="005B7900" w:rsidRDefault="00000000">
      <w:r>
        <w:t>An additional focus completes the environmental strategy of Crédit Agricole Group Taking action to promote biodiversity and natural capital, developed in its public statement published in September 2023</w:t>
      </w:r>
      <w:r w:rsidR="00602AC6">
        <w:t>.</w:t>
      </w:r>
    </w:p>
    <w:p w14:paraId="679CD44A" w14:textId="77777777" w:rsidR="005B7900" w:rsidRDefault="00000000">
      <w:r>
        <w:lastRenderedPageBreak/>
        <w:t>Setting targets for reducing the environmental footprint of our own operations After joining the Net Zero Banking Alliance in July 2021 and in line with the announcements in the Societal Project of the bank’s commitment to contributing to carbon neutrality by 2050, Crédit Agricole Group is continuing its efforts to reduce the greenhouse gas emissions linked to its own operations.</w:t>
      </w:r>
    </w:p>
    <w:p w14:paraId="5174341C" w14:textId="46258313" w:rsidR="005B7900" w:rsidRDefault="00000000">
      <w:r>
        <w:t>Concentrated into three main categories the operation of buildings through actions related to efficiency temperature controls in winter and summer.</w:t>
      </w:r>
    </w:p>
    <w:p w14:paraId="71FFE67E" w14:textId="77777777" w:rsidR="005B7900" w:rsidRDefault="00000000">
      <w:r>
        <w:t>Contribute voluntarily to carbon neutrality For actors who have conducted their carbon assessment and defined their decarbonisation pathway and actions, the carbon contribution consists of supporting projects to capture greenhouse gas emissions in agriculture and forestry and to reduce them outside their value chain.</w:t>
      </w:r>
    </w:p>
    <w:p w14:paraId="013A6531" w14:textId="77777777" w:rsidR="005B7900" w:rsidRDefault="00000000">
      <w:r>
        <w:t>In the transition period towards the Net Zero target and alongside actions to reduce its emissions, Crédit Agricole is contributing to global carbon neutrality thanks to a voluntary contribution policy for part of its residual emissions, by financing environmental projects that promote the reduction of greenhouse gases in the atmosphere or their sequestration.</w:t>
      </w:r>
    </w:p>
    <w:p w14:paraId="3848AE31" w14:textId="77777777" w:rsidR="005B7900" w:rsidRDefault="00000000">
      <w:r>
        <w:t>It is developed in collaboration with the Group Risk department, the Compliance department, the Group Purchasing department and the Group Human Resources department, which are the major contributing departments.</w:t>
      </w:r>
    </w:p>
    <w:p w14:paraId="574F59C7" w14:textId="77777777" w:rsidR="005B7900" w:rsidRDefault="00000000">
      <w:r>
        <w:t>Sustainability risks are managed according to the same principles as other types of risks and are integrated into the Crédit Agricole Group’s overall risk management process.</w:t>
      </w:r>
    </w:p>
    <w:p w14:paraId="1A3413A4" w14:textId="77777777" w:rsidR="005B7900" w:rsidRDefault="00000000">
      <w:r>
        <w:t>This list aims to meet the needs of most uses and will likely be updated regularly, in particular to take account of improved knowledge of climate and environmental risk factors and changes in the internal risk management system.</w:t>
      </w:r>
    </w:p>
    <w:p w14:paraId="5AE24714" w14:textId="77777777" w:rsidR="005B7900" w:rsidRDefault="00000000">
      <w:r>
        <w:t>The different work carried out makes it possible to identify the major risks affected by the climate risk factor and therefore requiring prioritisation when developing the risk management system.</w:t>
      </w:r>
    </w:p>
    <w:p w14:paraId="35CDB590" w14:textId="77777777" w:rsidR="005B7900" w:rsidRDefault="00000000">
      <w:r>
        <w:t>Environmental issues are integrated into strategic decisions as part of the Societal Project at the heart of the Group Project, as well as through dedicated governance at both the executive level and the Board of Directors.</w:t>
      </w:r>
    </w:p>
    <w:p w14:paraId="2FBB3359" w14:textId="211D504C" w:rsidR="005B7900" w:rsidRDefault="00000000">
      <w:r>
        <w:t>Additional number of climate-committed companies compared to a 2021 baseline.</w:t>
      </w:r>
    </w:p>
    <w:p w14:paraId="3BADB599" w14:textId="77777777" w:rsidR="005B7900" w:rsidRDefault="00000000">
      <w:r>
        <w:t>Lastly, Crédit Agricole Group is rolling out an extensive training programme to ensure that advisers are able to inform and support their clients in their choice of sustainable investments.</w:t>
      </w:r>
    </w:p>
    <w:p w14:paraId="121C8760" w14:textId="28223DC1" w:rsidR="005B7900" w:rsidRDefault="00000000">
      <w:r>
        <w:t>The Committed and Responsible range is based on three objectives integrating climate and environmental issues into management criteria.</w:t>
      </w:r>
    </w:p>
    <w:p w14:paraId="6B822AB7" w14:textId="1A2558B3" w:rsidR="005B7900" w:rsidRDefault="00000000">
      <w:r>
        <w:lastRenderedPageBreak/>
        <w:t>The LCL Impact Climat and LCL Impact Sociétal et Solidaire ranges offer investors wishing to give meaning and utility to their investments a choice of investment solutions selected for their support of companies contributing to environmental and social challenges and enabling investors to place the planet and society at the heart of their savings choices.</w:t>
      </w:r>
    </w:p>
    <w:p w14:paraId="7BAD9B33" w14:textId="525D6D7F" w:rsidR="005B7900" w:rsidRDefault="00000000">
      <w:r>
        <w:t>Since the launch of the SRI socially responsible investment funds, several initiatives have been carried out to promote this type of investment to distribution networks and customers.</w:t>
      </w:r>
    </w:p>
    <w:p w14:paraId="4E27E2F2" w14:textId="2320DE69" w:rsidR="005B7900" w:rsidRDefault="00000000">
      <w:r>
        <w:t>These include network activities during key periods Sustainable Development Week, SRI Week, Social Finance Week etc.</w:t>
      </w:r>
    </w:p>
    <w:p w14:paraId="6B3A3BA6" w14:textId="77777777" w:rsidR="005B7900" w:rsidRDefault="00000000">
      <w:r>
        <w:t>AMUNDI Amundi, a pioneer in responsible investment and a signatory of the Principles for Responsible Investment since 2006, has placed ESG analysis at the heart of its development strategy.</w:t>
      </w:r>
    </w:p>
    <w:p w14:paraId="340F3210" w14:textId="53BEB5E0" w:rsidR="005B7900" w:rsidRDefault="00000000">
      <w:r>
        <w:t>Having confirmed its position as a European leader in socially responsible investment in 2021, Amundi announced that it was boosting its commitment to a just environmental transition through its ESG Ambitions 2025 strategic plan announced in December 2021.</w:t>
      </w:r>
    </w:p>
    <w:p w14:paraId="460052B9" w14:textId="44A7E463" w:rsidR="005B7900" w:rsidRDefault="00000000">
      <w:r>
        <w:t>The Responsible Investment business line, which includes 60 experts, defines and implements Amundi’s sustainable finance strategy in all its dimensions, serving the various asset management activities company analysis and rating, engagement and voting, integration of ESG factors and design of sustainable investment solutions, key portfolio sustainability indicators, ESG promotion, and participation in market work and initiatives.</w:t>
      </w:r>
    </w:p>
    <w:p w14:paraId="157264EB" w14:textId="77777777" w:rsidR="005B7900" w:rsidRDefault="00000000">
      <w:r>
        <w:t>Amundi has a dedicated governance structure to steer its strategy as a responsible financial player and company.</w:t>
      </w:r>
    </w:p>
    <w:p w14:paraId="60963973" w14:textId="77777777" w:rsidR="005B7900" w:rsidRDefault="00000000">
      <w:r>
        <w:t>Its Board of Directors primarily relies on the work of the Strategy and CSR Committee.</w:t>
      </w:r>
    </w:p>
    <w:p w14:paraId="7E26E5D0" w14:textId="77777777" w:rsidR="005B7900" w:rsidRDefault="00000000">
      <w:r>
        <w:t>Our approach is based on universal documents such as the United Nations Global Compact, the OECD Guidelines on Corporate Governance, the International Labour Organisation , the United Nations Framework Convention on Climate Change etc.</w:t>
      </w:r>
    </w:p>
    <w:p w14:paraId="354B5220" w14:textId="085CFBDF" w:rsidR="005B7900" w:rsidRDefault="00000000">
      <w:r>
        <w:t>An active engagement policy this is applied through regular exchanges between analysts and investee companies, and through individual or collaborative engagement actions on six key issues transition towards a low-carbon economy.</w:t>
      </w:r>
    </w:p>
    <w:p w14:paraId="259A6F51" w14:textId="723759C6" w:rsidR="005B7900" w:rsidRDefault="00000000">
      <w:r>
        <w:t>The voting policy complements the engagement process Amundi’s voting policy is based on the conviction that the consideration of environmental, social and good governance issues by Boards of Directors is essential to the proper management of a corporate.</w:t>
      </w:r>
    </w:p>
    <w:p w14:paraId="30AD3A2A" w14:textId="77777777" w:rsidR="005B7900" w:rsidRDefault="00000000">
      <w:r>
        <w:t>Amundi intends to fully play its role as a responsible investor and is therefore committed to supporting resolutions on climate or social issues.</w:t>
      </w:r>
    </w:p>
    <w:p w14:paraId="009D1888" w14:textId="73DBA918" w:rsidR="005B7900" w:rsidRDefault="00000000">
      <w:r>
        <w:lastRenderedPageBreak/>
        <w:t>These concern issuers who do not comply with internationally recognised agreements and</w:t>
      </w:r>
      <w:r w:rsidR="00D13267">
        <w:t xml:space="preserve"> </w:t>
      </w:r>
      <w:r>
        <w:t>or frameworks or national regulations, as well as those who are exposed to targeted activities such as the coal and tobacco industries, and since the end of 2022, to unconventional hydrocarbons and nuclear weapons.</w:t>
      </w:r>
    </w:p>
    <w:p w14:paraId="25C2C085" w14:textId="77777777" w:rsidR="005B7900" w:rsidRDefault="00000000">
      <w:r>
        <w:t>The Deforestation policy, approved by the Board of Directors in October, was published in December 2024.</w:t>
      </w:r>
    </w:p>
    <w:p w14:paraId="3B60811D" w14:textId="77777777" w:rsidR="005B7900" w:rsidRDefault="00000000">
      <w:r>
        <w:t>This process makes it possible to ensure compliance with the exclusion criteria defined within the various sector-specific CSR policies or to analyse or even anticipate potential controversies with customers.</w:t>
      </w:r>
    </w:p>
    <w:p w14:paraId="00460FDE" w14:textId="49DCC6FE" w:rsidR="005B7900" w:rsidRDefault="00000000">
      <w:r>
        <w:t>Crédit Agricole CIB has also created two specific tools a Committee for the evaluation of transactions presenting an environmental or social risk Ceres, which issues an opinion on financing projects that may involve reputational risk or risk of non-compliance with CSR sector-specific policies.</w:t>
      </w:r>
    </w:p>
    <w:p w14:paraId="1ADB56BF" w14:textId="77777777" w:rsidR="005B7900" w:rsidRDefault="00000000">
      <w:r>
        <w:t>Initiatives to help customers reduce their exposure to environmental risks are of course undertaken at all levels of the bank.</w:t>
      </w:r>
    </w:p>
    <w:p w14:paraId="6B9B9F79" w14:textId="77777777" w:rsidR="005B7900" w:rsidRDefault="00000000">
      <w:r>
        <w:t>As a listed company, Amundi has a responsibility to its shareholders to be transparent about how its own climate strategy is progressing.</w:t>
      </w:r>
    </w:p>
    <w:p w14:paraId="4C41D520" w14:textId="5654459D" w:rsidR="005B7900" w:rsidRDefault="00000000">
      <w:r>
        <w:t>Adoption by Amundi of a new non-financial performance indicator entitled Additional number of climate-committed corporates compared to a 2021 baseline.</w:t>
      </w:r>
    </w:p>
    <w:p w14:paraId="149A0352" w14:textId="3DF82D15" w:rsidR="005B7900" w:rsidRDefault="00000000">
      <w:r>
        <w:t>Crédit Agricole Group takes a proactive approach to ESG inclusion, particularly in supporting MSEs medium-sized enterprises and SMEs by providing solutions tailored to their sector and size.</w:t>
      </w:r>
    </w:p>
    <w:p w14:paraId="737E1A55" w14:textId="06777DBE" w:rsidR="005B7900" w:rsidRDefault="00000000">
      <w:r>
        <w:t>This takes place as follows</w:t>
      </w:r>
      <w:r w:rsidR="000D0806">
        <w:t xml:space="preserve"> </w:t>
      </w:r>
      <w:r>
        <w:t>a diagnosis of the customer’s ESG performance is carried out by account managers to raise awareness about key environmental, social and compliance issues.</w:t>
      </w:r>
    </w:p>
    <w:p w14:paraId="47C51BE6" w14:textId="77777777" w:rsidR="005B7900" w:rsidRDefault="00000000">
      <w:r>
        <w:t>To that end, it relies on the strategic analyses and risk management policies presented to it and on the review of the risk frameworks submitted for adoption.</w:t>
      </w:r>
    </w:p>
    <w:p w14:paraId="6FCC2B7B" w14:textId="77777777" w:rsidR="005B7900" w:rsidRDefault="00000000">
      <w:r>
        <w:t>Finally, it reports on the Company’s ESG strategy and non-financial performance to the General Meeting and ensures the transparency and fairness of that communication.</w:t>
      </w:r>
    </w:p>
    <w:p w14:paraId="3614C4FE" w14:textId="07B9C262" w:rsidR="005B7900" w:rsidRDefault="00000000">
      <w:r>
        <w:t>Has chosen to assign specific responsibilities to two committees the review of the ESG policy, including climate strategy monitoring ahead of the General Meeting, has been entrusted to the Societal Commitment Committee.</w:t>
      </w:r>
    </w:p>
    <w:p w14:paraId="55D62395" w14:textId="77777777" w:rsidR="005B7900" w:rsidRDefault="00000000">
      <w:r>
        <w:t>Notwithstanding these specific responsibilities, the Board has reaffirmed its ambition to maintain a cross-functional approach to CSR issues, involving most of the specialised committees, depending on the subject.</w:t>
      </w:r>
    </w:p>
    <w:p w14:paraId="131FE6C5" w14:textId="357700FB" w:rsidR="005B7900" w:rsidRDefault="00000000">
      <w:r>
        <w:lastRenderedPageBreak/>
        <w:t>The supervision of the Group Project is placed directly under his responsibility, with the four support departments of the three major axes of the Group Project the Sustainability and Impact department, the Customer Project department and the Group Human Resources department as well as the Group Project Steering and Impulsion department.</w:t>
      </w:r>
    </w:p>
    <w:p w14:paraId="49E4CCA9" w14:textId="77777777" w:rsidR="005B7900" w:rsidRDefault="00000000">
      <w:r>
        <w:t>Strategy deployment and environmental risk management within the business lines is coordinated by cross-functional Committees which report to senior executives at the highest levels of the Crédit Agricole Group.</w:t>
      </w:r>
    </w:p>
    <w:p w14:paraId="698C58F7" w14:textId="77777777" w:rsidR="005B7900" w:rsidRDefault="00000000">
      <w:r>
        <w:t>Within this framework, the environmental risk strategy, prepared by the Sustainability and Impact department and the Risk department in collaboration with the Group entities, is presented to it annually.</w:t>
      </w:r>
    </w:p>
    <w:p w14:paraId="483DF94F" w14:textId="77777777" w:rsidR="005B7900" w:rsidRDefault="00000000">
      <w:r>
        <w:t>This risk strategy and the associated risk opinion determine the environmental risk roadmap for the coming year.</w:t>
      </w:r>
    </w:p>
    <w:p w14:paraId="0C923607" w14:textId="77777777" w:rsidR="005B7900" w:rsidRDefault="00000000">
      <w:r>
        <w:t>This department identifies the major societal issues for the Group, initiates and coordinates the implementation of the ESG strategy and structures all of the social and environmental initiatives within a CSR business line.</w:t>
      </w:r>
    </w:p>
    <w:p w14:paraId="602F545A" w14:textId="77777777" w:rsidR="005B7900" w:rsidRDefault="00000000">
      <w:r>
        <w:t>In addition, the Chief Sustainability and Impact Officer allows for environmental risks to be monitored and managed through the ESG Strategy Committee and the Societal Commitment Committee, where they share the progress of the Societal Project, as well as the potential difficulties to be resolved.</w:t>
      </w:r>
    </w:p>
    <w:p w14:paraId="12C3E82D" w14:textId="28A2588F" w:rsidR="005B7900" w:rsidRDefault="00000000">
      <w:r>
        <w:t>Governance of the Societal Project and the ESG strategy</w:t>
      </w:r>
      <w:r w:rsidR="009B66A9">
        <w:t xml:space="preserve"> </w:t>
      </w:r>
      <w:r>
        <w:t>the governance of the ESG strategy includes a special focus on the just transition.</w:t>
      </w:r>
    </w:p>
    <w:p w14:paraId="00AEB3E9" w14:textId="74E65565" w:rsidR="005B7900" w:rsidRDefault="00000000">
      <w:r>
        <w:t>In terms of climate in particular, it reviews the results obtained for specific targets set according to different time horizons short, medium and long term and, if necessary, adapts the action plan and targets.</w:t>
      </w:r>
    </w:p>
    <w:p w14:paraId="49388F8A" w14:textId="77777777" w:rsidR="005B7900" w:rsidRDefault="00000000">
      <w:r>
        <w:t>This climate policy and the main actions undertaken are then presented to the General Meeting of Crédit Agricole S.</w:t>
      </w:r>
    </w:p>
    <w:p w14:paraId="19E78D2F" w14:textId="77777777" w:rsidR="005B7900" w:rsidRDefault="00000000">
      <w:r>
        <w:t>At least every three years, or in the event of a significant change in strategy.</w:t>
      </w:r>
    </w:p>
    <w:p w14:paraId="6320002A" w14:textId="77777777" w:rsidR="005B7900" w:rsidRDefault="00000000">
      <w:r>
        <w:t>Within this framework, the environmental risk framework, constructed by the Risk department in collaboration with the Sustainability and Impact department and the Group’s entities, is presented to it annually.</w:t>
      </w:r>
    </w:p>
    <w:p w14:paraId="5DB33F05" w14:textId="77777777" w:rsidR="005B7900" w:rsidRDefault="00000000">
      <w:r>
        <w:t>This risk management framework determines the environmental risk roadmap for the coming year.</w:t>
      </w:r>
    </w:p>
    <w:p w14:paraId="40859502" w14:textId="6931BAB6" w:rsidR="005B7900" w:rsidRDefault="00000000">
      <w:r>
        <w:t xml:space="preserve">It is structured around four types of activities establishment of the methodological framework sectoral policy, standards and regulatory oversight, ESG expertise, support for </w:t>
      </w:r>
      <w:r>
        <w:lastRenderedPageBreak/>
        <w:t>the business lines in the deployment of the ESG strategy, and production and analysis of non-financial information.</w:t>
      </w:r>
    </w:p>
    <w:p w14:paraId="5FB240AC" w14:textId="77777777" w:rsidR="005B7900" w:rsidRDefault="00000000">
      <w:r>
        <w:t>In 2024, the members of the Board completed training on the regulatory and strategic challenges of the CSRD, and the progress of work on implementing sustainability reporting within the Group.</w:t>
      </w:r>
    </w:p>
    <w:p w14:paraId="5467E33F" w14:textId="77777777" w:rsidR="005B7900" w:rsidRDefault="00000000">
      <w:r>
        <w:t>Within this framework, the environmental risk strategy, prepared by the Sustainability and Impact department and the Risk department in collaboration with the Group entities, is presented to it annually.</w:t>
      </w:r>
    </w:p>
    <w:p w14:paraId="3085BCC8" w14:textId="77777777" w:rsidR="005B7900" w:rsidRDefault="00000000">
      <w:r>
        <w:t>In particular, as part of its executive oversight function, the Board of Directors reviews all risks, including environmental risks, on a quarterly basis.</w:t>
      </w:r>
    </w:p>
    <w:p w14:paraId="15A816C8" w14:textId="77777777" w:rsidR="005B7900" w:rsidRDefault="00000000">
      <w:r>
        <w:t>Following the adoption of a new Medium-Term Strategic Plan, the work of the Committee focused on the finalisation of the integration of indicators related to the Group’s ESG commitments into the performance criteria for executive corporate officers, in particular societal, environmental and climate-related aspects.</w:t>
      </w:r>
    </w:p>
    <w:p w14:paraId="6C7EAD20" w14:textId="77777777" w:rsidR="005B7900" w:rsidRDefault="00000000">
      <w:r>
        <w:t>In 2023, following the work of the Committee, the Board decided to increase the share of these criteria in the annual variable compensation of executives to 20%.</w:t>
      </w:r>
    </w:p>
    <w:p w14:paraId="52C4A6D9" w14:textId="77777777" w:rsidR="005B7900" w:rsidRDefault="00000000">
      <w:r>
        <w:t>These elements have been incorporated into the Executive Compensation Policy for the 2023 financial year submitted ex ante to the General Meeting of 17 May 2023.</w:t>
      </w:r>
    </w:p>
    <w:p w14:paraId="5D41C732" w14:textId="5E41A5A6" w:rsidR="005B7900" w:rsidRDefault="00000000">
      <w:r>
        <w:t>In this sense, they are both subject to dedicated monitoring, with dedicated staff within the Risk Management business line led by the Group Risk Department, and are integrated into the existing mechanisms for identifying, assessing, managing and reporting other categories of risk.</w:t>
      </w:r>
    </w:p>
    <w:p w14:paraId="3F83A660" w14:textId="77777777" w:rsidR="005B7900" w:rsidRDefault="00000000">
      <w:r>
        <w:t>The various elements of these environmental risk management systems are presented in the following paragraphs.</w:t>
      </w:r>
    </w:p>
    <w:p w14:paraId="38928937" w14:textId="77777777" w:rsidR="005B7900" w:rsidRDefault="00000000">
      <w:r>
        <w:t>Environmental risk factors are categorised for the purposes of analysis and reporting.</w:t>
      </w:r>
    </w:p>
    <w:p w14:paraId="68A6E2BD" w14:textId="35CADC9C" w:rsidR="005B7900" w:rsidRDefault="00000000">
      <w:r>
        <w:t>Three scenarios defined by the Network for Greening the Financial System are used to assess the materiality of climate-related risks for the Crédit Agricole Group Net Zero 2050 orderly outlines an ambitious but achievable future where global efforts will lead to net zero Greenhouse Gas emissions by 2050, aiming to limit warming to +1.</w:t>
      </w:r>
    </w:p>
    <w:p w14:paraId="65554BBE" w14:textId="277EBC6E" w:rsidR="005B7900" w:rsidRDefault="00000000">
      <w:r>
        <w:t>The delayed transition disorderly presents a world where efforts to reduce Greenhouse Gas emissions are delayed, leading to a global temperature increase of +1.</w:t>
      </w:r>
    </w:p>
    <w:p w14:paraId="1447A51F" w14:textId="77777777" w:rsidR="005B7900" w:rsidRDefault="00000000">
      <w:r>
        <w:t>This identification then makes it possible to prioritise the materiality assessment analyses of environmental risk factors and the development of the risk management system.</w:t>
      </w:r>
    </w:p>
    <w:p w14:paraId="1B965BB9" w14:textId="77777777" w:rsidR="005B7900" w:rsidRDefault="00000000">
      <w:r>
        <w:lastRenderedPageBreak/>
        <w:t>The environmental risk factor impact analysis took into account a detailed retrospective review of the controversies that the Group has had to face, without being the subject of legal action.</w:t>
      </w:r>
    </w:p>
    <w:p w14:paraId="72498A4B" w14:textId="77777777" w:rsidR="005B7900" w:rsidRDefault="00000000">
      <w:r>
        <w:t>Although the Group has never been the subject of legal action, the landscape is evolving in terms of climate-related reputational risk with the increasing sophistication of NGO initiatives and the growing sensitivity of public opinion to climate issues.</w:t>
      </w:r>
    </w:p>
    <w:p w14:paraId="0A4B4108" w14:textId="782FA8D0" w:rsidR="005B7900" w:rsidRDefault="00000000">
      <w:r>
        <w:t>Given the avoidance measures in place and the lack of disputes relating to our climate commitments, the Crédit Agricole Group considers the reputational risks relating to physical risks and transition risks to be a consequence of primary risks, and has deemed them to be limited in the short-term</w:t>
      </w:r>
      <w:r w:rsidR="00F72238">
        <w:t>.</w:t>
      </w:r>
    </w:p>
    <w:p w14:paraId="040A8509" w14:textId="77777777" w:rsidR="005B7900" w:rsidRDefault="00000000">
      <w:r>
        <w:t>The analyses carried out have thus concluded that the impact of environmental risk factors on the Crédit Agricole Group’s liquidity is limited, across all time horizons.</w:t>
      </w:r>
    </w:p>
    <w:p w14:paraId="229E556E" w14:textId="77777777" w:rsidR="005B7900" w:rsidRDefault="00000000">
      <w:r>
        <w:t>The Group’s risk management processes are gradually being updated to incorporate environmental factors deemed relevant on the basis of risk analyses carried out, in line with regulatory requirements.</w:t>
      </w:r>
    </w:p>
    <w:p w14:paraId="2F40286A" w14:textId="427E1A73" w:rsidR="005B7900" w:rsidRDefault="00000000">
      <w:r>
        <w:t>Risk culture the Group offers training modules on environmental risk management tailored to the needs of employees, particularly in an e-learning format.</w:t>
      </w:r>
    </w:p>
    <w:p w14:paraId="4B5B40FA" w14:textId="77777777" w:rsidR="005B7900" w:rsidRDefault="00000000">
      <w:r>
        <w:t>This integration is taking place either within the internal control system for the different risk categories or within new processes dedicated to environmental risks.</w:t>
      </w:r>
    </w:p>
    <w:p w14:paraId="06D881D4" w14:textId="440F9523" w:rsidR="005B7900" w:rsidRDefault="00000000">
      <w:r>
        <w:t>It is chaired by the Compliance Officer, while secretarial support is provided by the ESR Environmental and Social Risks department, which reports to the Risk department.</w:t>
      </w:r>
    </w:p>
    <w:p w14:paraId="3AF94EAC" w14:textId="77777777" w:rsidR="005B7900" w:rsidRDefault="00000000">
      <w:r>
        <w:t>Amundi’s approach is based on universal documents such as the United Nations Global Compact, the OECD Guidelines on Corporate Governance, the International Labour Organisation etc.</w:t>
      </w:r>
    </w:p>
    <w:p w14:paraId="094C0038" w14:textId="7AC97614" w:rsidR="005B7900" w:rsidRDefault="00000000">
      <w:r>
        <w:t>The ESG score also assesses a corporate’s ability to manage the potential negative impact of its activities on sustainability factors ESG analysis of corporates is based on a best-in-class approach</w:t>
      </w:r>
      <w:r w:rsidR="001D323F">
        <w:t xml:space="preserve"> </w:t>
      </w:r>
      <w:r>
        <w:t>it consists of comparing players in the same sector with each other to distinguish between the best and worst practices in the sector.</w:t>
      </w:r>
    </w:p>
    <w:p w14:paraId="43B10EC1" w14:textId="77777777" w:rsidR="005B7900" w:rsidRDefault="00000000">
      <w:r>
        <w:t>This collection of necessary data is carried out with a quality requirement consistent with regulatory requirements and new uses, whether regulatory or for risk monitoring and management, and is supported by an IT development strategy to upgrade the Group’s databases, flows and tools.</w:t>
      </w:r>
    </w:p>
    <w:p w14:paraId="7A8FD49B" w14:textId="77777777" w:rsidR="005B7900" w:rsidRDefault="00000000">
      <w:r>
        <w:t>As a result, the Crédit Agricole Group, through all of its subsidiaries, offers environmental and social services to all of its customer segments so that all players in the economy and the regions are assisted and supported in current and future transformations.</w:t>
      </w:r>
    </w:p>
    <w:p w14:paraId="7ADC3DFC" w14:textId="1DC3E856" w:rsidR="005B7900" w:rsidRDefault="00000000">
      <w:r>
        <w:lastRenderedPageBreak/>
        <w:t>This combination of social utility and universality is reflected in the social strategy that the Group has adopted with regard to its customers 1.</w:t>
      </w:r>
    </w:p>
    <w:p w14:paraId="6E42DA2A" w14:textId="77777777" w:rsidR="005B7900" w:rsidRDefault="00000000">
      <w:r>
        <w:t>Offering a range of products that does not exclude any customer in order to promote social inclusion, through products that are accessible to everyone no matter their financial position, a renewed commitment to young people and vulnerable populations as well as a prevention policy for insured persons.</w:t>
      </w:r>
    </w:p>
    <w:p w14:paraId="15B87393" w14:textId="77777777" w:rsidR="005B7900" w:rsidRDefault="00000000">
      <w:r>
        <w:t>Reducing social inequalities through the arrangement of social bonds and investment in social housing, the support of actors with an impact from the social economy and the promotion of initiatives with a societal stake.</w:t>
      </w:r>
    </w:p>
    <w:p w14:paraId="60367AAF" w14:textId="77777777" w:rsidR="005B7900" w:rsidRDefault="00000000">
      <w:r>
        <w:t>In addition, the Group positions itself as a responsible employer, working to make the Group more attractive, retain its employees and guarantee a suitable working environment.</w:t>
      </w:r>
    </w:p>
    <w:p w14:paraId="250D72D4" w14:textId="7FB4E383" w:rsidR="005B7900" w:rsidRDefault="00000000">
      <w:r>
        <w:t>Economic and social development working with major business start-up support networks since 1994, the Regional Banks and LCL help to strengthen the network of small companies throughout France.</w:t>
      </w:r>
    </w:p>
    <w:p w14:paraId="0FFAEE09" w14:textId="24D93D01" w:rsidR="005B7900" w:rsidRDefault="00000000">
      <w:r>
        <w:t>At the same time, the Crédit Agricole Group also offers targeted financing social loans the funds of which are allocated directly to an asset or project with a social benefit and issues social bonds as part of the Group’s Social Bond Framework.</w:t>
      </w:r>
    </w:p>
    <w:p w14:paraId="288A7988" w14:textId="77777777" w:rsidR="005B7900" w:rsidRDefault="00000000">
      <w:r>
        <w:t>Mindful of the challenges associated with digital security, Crédit Agricole Group deploys a cybersecurity strategy to protect itself against cyberthreats, which are a key focus of its operational risk management policy.</w:t>
      </w:r>
    </w:p>
    <w:p w14:paraId="63651AF7" w14:textId="77777777" w:rsidR="005B7900" w:rsidRDefault="00000000">
      <w:r>
        <w:t>Control and monitoring Security reviews, audits and tests are conducted periodically by the three lines of defence and external auditors to monitor the compliance and security of the information system.</w:t>
      </w:r>
    </w:p>
    <w:p w14:paraId="38C8574A" w14:textId="77777777" w:rsidR="005B7900" w:rsidRDefault="00000000">
      <w:r>
        <w:t>Cyber risk awareness and culture Crédit Agricole Group actively raises its employees’ awareness of cyber threats to remind them of the issues associated with individual habits and to ensure they maintain key reflexive responses.</w:t>
      </w:r>
    </w:p>
    <w:p w14:paraId="78C97863" w14:textId="77777777" w:rsidR="005B7900" w:rsidRDefault="00000000">
      <w:r>
        <w:t>Information system security policy The PSSI is part of the overall policy framework established by the Crédit Agricole Group’s General Information System Risk Management Policy and the Crédit Agricole Group’s Business Continuity Plan Policy, which are issued by the Group Risk department.</w:t>
      </w:r>
    </w:p>
    <w:p w14:paraId="641C6B3E" w14:textId="77777777" w:rsidR="005B7900" w:rsidRDefault="00000000">
      <w:r>
        <w:t>The regulatory framework is published on the Crédit Agricole Group Intranet.</w:t>
      </w:r>
    </w:p>
    <w:p w14:paraId="314B1E56" w14:textId="3D06084F" w:rsidR="005B7900" w:rsidRDefault="00000000">
      <w:r>
        <w:t>In terms of customer protection, the Compliance department leads work groups aimed at strengthening loyalty vis-à-vis customers product governance.</w:t>
      </w:r>
    </w:p>
    <w:p w14:paraId="29D7A9E7" w14:textId="5989023D" w:rsidR="005B7900" w:rsidRDefault="00000000">
      <w:r>
        <w:t xml:space="preserve">In order to ensure that the rights and freedoms of individuals whose data is processed are respected, the Crédit Agricole Group has set up a system based on the following four pillars </w:t>
      </w:r>
      <w:r>
        <w:lastRenderedPageBreak/>
        <w:t>Governance, Standards, Training and Control which are supervised by the Data Protection Officers appointed within the entities.</w:t>
      </w:r>
    </w:p>
    <w:p w14:paraId="519DC288" w14:textId="51335435" w:rsidR="005B7900" w:rsidRDefault="001D323F">
      <w:r>
        <w:t>Three priority challenges have been defined to develop gender diversity in management positions, internationalise talent pools and enhance inputs to succession planning for the Group and its business lines.</w:t>
      </w:r>
    </w:p>
    <w:p w14:paraId="2C3CBD6A" w14:textId="0002F5F1" w:rsidR="005B7900" w:rsidRDefault="001D323F">
      <w:r>
        <w:t>The Group supports its talents, providing them with the opportunity to join working groups tackling strategic problems and to access mentoring programmes, strengthening leadership, and to complete training in various subjects, such as new technologies, and in particular thanks to a new training course on AI and generative AI launched in partnership with IFCAM.</w:t>
      </w:r>
    </w:p>
    <w:p w14:paraId="313B5577" w14:textId="7827BC58" w:rsidR="005B7900" w:rsidRDefault="00000000">
      <w:r>
        <w:t>Promote the employer brand and develop employees the Group’s attractiveness is increasing.</w:t>
      </w:r>
    </w:p>
    <w:p w14:paraId="4C4A746C" w14:textId="1DAA265B" w:rsidR="005B7900" w:rsidRDefault="00000000">
      <w:r>
        <w:t>Crédit Agricole Group employees go through an Evaluation and Development process to allow each of them to play an active role in their own development and performance.</w:t>
      </w:r>
    </w:p>
    <w:p w14:paraId="5F6123EE" w14:textId="2771622C" w:rsidR="005B7900" w:rsidRDefault="00000000">
      <w:r>
        <w:t>the evolution and development of employees’ skills is one of Crédit Agricole Group’s major challenges, with three key areas an environment that encourages learning new things to ensure sustainable employability for employees.</w:t>
      </w:r>
    </w:p>
    <w:p w14:paraId="6A068121" w14:textId="77777777" w:rsidR="005B7900" w:rsidRDefault="00000000">
      <w:r>
        <w:t>Has engaged all of its executives in a development journey that is designed to help them accelerate their own transformation and their management styles vis-à-vis their teams.</w:t>
      </w:r>
    </w:p>
    <w:p w14:paraId="63061D31" w14:textId="7D8DE134" w:rsidR="005B7900" w:rsidRDefault="00000000">
      <w:r>
        <w:t>Executives were invited to the training course Leadership to develop everyone’s potential.</w:t>
      </w:r>
    </w:p>
    <w:p w14:paraId="7C9AC101" w14:textId="77777777" w:rsidR="005B7900" w:rsidRDefault="00000000">
      <w:r>
        <w:t>This programme provides training on environmental and societal issues and prepares people for evolving jobs and activities, through specific tools designed to enhance employees’ skills, and for needs by target audience and business line.</w:t>
      </w:r>
    </w:p>
    <w:p w14:paraId="57EB4C42" w14:textId="247C0478" w:rsidR="005B7900" w:rsidRDefault="009E7A75">
      <w:r>
        <w:t>The organisational and managerial transformation process, propelled by the Humancentred project, continued within Crédit Agricole Group’s entities, with actions to promote accountability based on new managerial practices, training courses and awareness programmes.</w:t>
      </w:r>
    </w:p>
    <w:p w14:paraId="78D9546B" w14:textId="6C32ECB1" w:rsidR="005B7900" w:rsidRDefault="009E7A75">
      <w:r>
        <w:t>As part of the International Framework Agreement signed with UNI Global Union in 2019, the commitment to respect human rights, freedom of association and trade union rights has been reaffirmed.</w:t>
      </w:r>
    </w:p>
    <w:p w14:paraId="448881E9" w14:textId="43D00288" w:rsidR="005B7900" w:rsidRDefault="00000000">
      <w:r>
        <w:t>Social dialogue is illustrated in particular by the robustness of the dialogue within three Group-level representative bodies the European Works Council and the Group Works Council, which are responsible for dealing with economic, social and financial issues across the Group, and the Consultation Committee, which is a body specific to Crédit Agricole S.</w:t>
      </w:r>
    </w:p>
    <w:p w14:paraId="43EC96D8" w14:textId="77777777" w:rsidR="005B7900" w:rsidRDefault="00000000">
      <w:r>
        <w:lastRenderedPageBreak/>
        <w:t>This framework agreement provides that any entity belonging to the Group that is considering a restructuring plan with a significant impact on the employment situation must announce the plan in good time so that a dialogue with employee representatives and management can be initiated to find socially responsible solutions.</w:t>
      </w:r>
    </w:p>
    <w:p w14:paraId="1A4D26C3" w14:textId="77777777" w:rsidR="005B7900" w:rsidRDefault="00000000">
      <w:r>
        <w:t>Has been committed to promoting gender equality at work, notably by signing agreements on issues such as equality in recruitment, training, promotion, compensation and work-life balance.</w:t>
      </w:r>
    </w:p>
    <w:p w14:paraId="1CD4C63B" w14:textId="1DFDFF5D" w:rsidR="005B7900" w:rsidRDefault="00000000">
      <w:r>
        <w:t>The Group also offers support programmes to help discover talent training in the role of Director.</w:t>
      </w:r>
    </w:p>
    <w:p w14:paraId="29C59289" w14:textId="77777777" w:rsidR="005B7900" w:rsidRDefault="00000000">
      <w:r>
        <w:t>Crédit Agricole Group draws on its ambitious Youth Plan and a variety of initiatives to promote workforce entry for young people through jobs and training.</w:t>
      </w:r>
    </w:p>
    <w:p w14:paraId="1B936817" w14:textId="77777777" w:rsidR="005B7900" w:rsidRDefault="00000000">
      <w:r>
        <w:t>This commitment is also illustrated by the mobilisation of employees to support work-study students and, more generally, young people within the Group.</w:t>
      </w:r>
    </w:p>
    <w:p w14:paraId="010CF76D" w14:textId="62FE3537" w:rsidR="005B7900" w:rsidRDefault="00000000">
      <w:r>
        <w:t>It monitors the deployment of the managerial transformation initiated by the Group in 2019 around three key principles</w:t>
      </w:r>
      <w:r w:rsidR="008450AE">
        <w:t xml:space="preserve"> </w:t>
      </w:r>
      <w:r>
        <w:t>empowerment of employees, strengthening close customer relations and developing a framework of trust.</w:t>
      </w:r>
    </w:p>
    <w:p w14:paraId="697CC57F" w14:textId="7C75DD9D" w:rsidR="005B7900" w:rsidRDefault="008450AE">
      <w:r>
        <w:t>The Group’s strategy regarding physical safety is based on risk prevention by training employees to enable them to adopt appropriate behaviour and acquire effective safety practices.</w:t>
      </w:r>
    </w:p>
    <w:p w14:paraId="72B17C1E" w14:textId="77777777" w:rsidR="005B7900" w:rsidRDefault="00000000">
      <w:r>
        <w:t>Training courses and awareness-raising initiatives were provided to this end.</w:t>
      </w:r>
    </w:p>
    <w:p w14:paraId="1DF36E2E" w14:textId="343A521A" w:rsidR="005B7900" w:rsidRDefault="00000000">
      <w:r>
        <w:t>Quality of Life in the Workplace prevention and support actions for employees are implemented free screening and vaccination campaigns, ergonomic advice, nutrition and stress management advice, personalised support for employee carers, teleconsultation booths etc.</w:t>
      </w:r>
    </w:p>
    <w:p w14:paraId="1ED6A81D" w14:textId="3056DC49" w:rsidR="005B7900" w:rsidRDefault="008450AE">
      <w:r>
        <w:t>To meet the new expectations of parent employees, the Group has adapted its working structure to provide greater flexibility and promote a better balance to assist parent employees to better manage their parental responsibilities.</w:t>
      </w:r>
    </w:p>
    <w:p w14:paraId="2BFC2C5D" w14:textId="77590FEF" w:rsidR="005B7900" w:rsidRDefault="00000000">
      <w:r>
        <w:t>Crédit Agricole Group gives all its employees and partners the possibility of using an internal whistleblowing system, either anonymously or in their own name, if they witness or are victims of serious events or events contrary to the Group’s Code of Conduct and if they have not been able to use normal hierarchical channels for reporting problems.</w:t>
      </w:r>
    </w:p>
    <w:p w14:paraId="043EBEBC" w14:textId="3C6C7594" w:rsidR="005B7900" w:rsidRDefault="00000000">
      <w:r>
        <w:t>The reward policy is one of the three founding principles of the human-centric project empowering employees, strengthening customer relations and fostering an atmosphere of trust.</w:t>
      </w:r>
    </w:p>
    <w:p w14:paraId="7627E8B1" w14:textId="77777777" w:rsidR="005B7900" w:rsidRDefault="00000000">
      <w:r>
        <w:lastRenderedPageBreak/>
        <w:t>Through its human-centric project, Crédit Agricole Group promotes a reward policy based on fairness and common rules for all employees in compliance with the applicable regulatory framework.</w:t>
      </w:r>
    </w:p>
    <w:p w14:paraId="293F4526" w14:textId="788772F1" w:rsidR="005B7900" w:rsidRDefault="00000000">
      <w:r>
        <w:t>This translates into compensation and benefits that ensure an appropriate standard of living for the individuals concerned and their families under equitable conditions and that are consistent with risk management objectives.</w:t>
      </w:r>
    </w:p>
    <w:p w14:paraId="7B4C8051" w14:textId="77777777" w:rsidR="005B7900" w:rsidRDefault="00000000">
      <w:r>
        <w:t>Proposes an annual capital increase offer reserved for Group employees and retirees.</w:t>
      </w:r>
    </w:p>
    <w:p w14:paraId="40E3A880" w14:textId="77777777" w:rsidR="005B7900" w:rsidRDefault="00000000">
      <w:r>
        <w:t>Tax department ensures that the Group’s tax practices pursue broad goals of responsibility and compliance, not just the narrower purpose of managing the cost of tax and tax risk.</w:t>
      </w:r>
    </w:p>
    <w:p w14:paraId="78C400C0" w14:textId="77777777" w:rsidR="005B7900" w:rsidRDefault="00000000">
      <w:r>
        <w:t>In 2024, the main focus was on competitiveness, regulatory simplification, the financing of the economy, support for the energy transition and preservation of the special features of the mutualist banking model.</w:t>
      </w:r>
    </w:p>
    <w:p w14:paraId="125DC62E" w14:textId="77777777" w:rsidR="005B7900" w:rsidRDefault="00000000">
      <w:r>
        <w:t>Since 2023, a low-carbon transition component has been part of this policy.</w:t>
      </w:r>
    </w:p>
    <w:p w14:paraId="328892ED" w14:textId="4DED4AC2" w:rsidR="005B7900" w:rsidRDefault="008450AE">
      <w:r>
        <w:t>Ensuring responsible behaviour in supplier relations, contributing to the economic competitiveness of the ecosystem, sustainably improving the quality of relations with suppliers, integrating environmental and social aspects into purchasing activities, taking action for the transition to a low-carbon economy, and integrating this responsible purchasing policy into the existing governance mechanisms.</w:t>
      </w:r>
    </w:p>
    <w:p w14:paraId="3C795B20" w14:textId="77777777" w:rsidR="005B7900" w:rsidRDefault="00000000">
      <w:r>
        <w:t>Improvement plans to reduce average payment terms are included on the agenda of the Group’s Supplier Risk Committee.</w:t>
      </w:r>
    </w:p>
    <w:p w14:paraId="05EA9D03" w14:textId="7F518CB2" w:rsidR="005B7900" w:rsidRDefault="00000000">
      <w:r>
        <w:t>Taking action for the climate and transition to a low carbon economy Crédit Agricole S</w:t>
      </w:r>
      <w:r w:rsidR="0016554D">
        <w:t xml:space="preserve"> is</w:t>
      </w:r>
      <w:r>
        <w:t xml:space="preserve"> committed to making 40% of its external expenditure with suppliers who have adopted science-based reduction targets.</w:t>
      </w:r>
    </w:p>
    <w:p w14:paraId="1496309E" w14:textId="77777777" w:rsidR="005B7900" w:rsidRDefault="00000000">
      <w:r>
        <w:t>It is developed in collaboration with the Group Risk department, the Compliance department, the Group Purchasing department and the Group Human Resources department, which are the major contributing departments.</w:t>
      </w:r>
    </w:p>
    <w:p w14:paraId="60D3DD89" w14:textId="77777777" w:rsidR="005B7900" w:rsidRDefault="00000000">
      <w:r>
        <w:t>Sustainability risks are managed according to the same principles as other types of risks and are integrated into the Crédit Agricole Group’s overall risk management process.</w:t>
      </w:r>
    </w:p>
    <w:p w14:paraId="0B80423F" w14:textId="37B89CD0" w:rsidR="005B7900" w:rsidRDefault="00000000">
      <w:r>
        <w:t>At the end of 2024, the full list of social performance indicators used for Crédit Agricole S</w:t>
      </w:r>
      <w:r w:rsidR="004405F8">
        <w:t xml:space="preserve"> r</w:t>
      </w:r>
      <w:r>
        <w:t>aising awareness of ethics among employees.</w:t>
      </w:r>
      <w:r w:rsidR="004405F8">
        <w:t xml:space="preserve"> </w:t>
      </w:r>
      <w:r>
        <w:t>This process makes it possible to ensure compliance with the exclusion criteria defined within the various sector-specific CSR policies or to analyse or even anticipate potential controversies with customers.</w:t>
      </w:r>
    </w:p>
    <w:p w14:paraId="527A22EF" w14:textId="2B799A57" w:rsidR="005B7900" w:rsidRDefault="00000000">
      <w:r>
        <w:t>Crédit Agricole takes a systematic, proactive approach to ESG inclusion, particularly in supporting MSEs medium-sized enterprises and SMEs by providing solutions tailored to their sector and size.</w:t>
      </w:r>
    </w:p>
    <w:p w14:paraId="329AFF92" w14:textId="768F8052" w:rsidR="005B7900" w:rsidRDefault="00000000">
      <w:r>
        <w:lastRenderedPageBreak/>
        <w:t>This takes place as follows a diagnosis of the customer’s ESG performance is carried out by account managers to raise awareness of key environmental, social and compliance issues.</w:t>
      </w:r>
    </w:p>
    <w:p w14:paraId="7F4B4838" w14:textId="77777777" w:rsidR="005B7900" w:rsidRDefault="00000000">
      <w:r>
        <w:t>To that end, it relies on the strategic analyses and risk management policies presented to it and on the review of the risk frameworks submitted for adoption.</w:t>
      </w:r>
    </w:p>
    <w:p w14:paraId="061E97CA" w14:textId="77777777" w:rsidR="005B7900" w:rsidRDefault="00000000">
      <w:r>
        <w:t>Finally, it reports on the Company’s ESG strategy and non-financial performance to the General Meeting and ensures the transparency and fairness of that communication.</w:t>
      </w:r>
    </w:p>
    <w:p w14:paraId="674D2E44" w14:textId="7A3ACD23" w:rsidR="005B7900" w:rsidRDefault="00000000">
      <w:r>
        <w:t>In the environmental and social field, Crédit Agricole S</w:t>
      </w:r>
      <w:r w:rsidR="004405F8">
        <w:t xml:space="preserve"> h</w:t>
      </w:r>
      <w:r>
        <w:t>as chosen to assign specific responsibilities to two committees see , E below the review of the ESG policy, including climate strategy monitoring ahead of the General Meeting, has been entrusted to the Societal Commitment Committee.</w:t>
      </w:r>
    </w:p>
    <w:p w14:paraId="16F4C2A5" w14:textId="77777777" w:rsidR="005B7900" w:rsidRDefault="00000000">
      <w:r>
        <w:t>Notwithstanding these specific responsibilities, the Board has reaffirmed its ambition to maintain a cross-functional approach to CSR issues, involving most of the specialised committees, depending on the subject.</w:t>
      </w:r>
    </w:p>
    <w:p w14:paraId="46DBE28C" w14:textId="77777777" w:rsidR="005B7900" w:rsidRDefault="00000000">
      <w:r>
        <w:t>At the level of the Crédit Agricole Group, the governance of the Environmental &amp; Social strategy includes a special focus on the just transition.</w:t>
      </w:r>
    </w:p>
    <w:p w14:paraId="7C8EEDF2" w14:textId="77777777" w:rsidR="005B7900" w:rsidRDefault="00000000">
      <w:r>
        <w:t>The Group has established a dedicated governance structure with the specific mission of overseeing the implementation of this just transition.</w:t>
      </w:r>
    </w:p>
    <w:p w14:paraId="7014FB82" w14:textId="3C1495F6" w:rsidR="005B7900" w:rsidRDefault="00000000">
      <w:r>
        <w:t>In addition, internal resources are allocated within Crédit Agricole S</w:t>
      </w:r>
      <w:r w:rsidR="000B147E">
        <w:t xml:space="preserve"> t</w:t>
      </w:r>
      <w:r>
        <w:t>o the assessment of social risks, with three positions dedicated to the duty of vigilance and human rights within the Sustainability and Impact, Group Purchasing, Group Compliance and Legal departments, in addition to the resources allocated within the subsidiaries.</w:t>
      </w:r>
    </w:p>
    <w:p w14:paraId="70019B11" w14:textId="157B209B" w:rsidR="005B7900" w:rsidRDefault="00000000">
      <w:r>
        <w:t>They work in conjunction with the Board’s other Specialised Committees which ensure that these guidelines are correctly applied in their respective fields see above.</w:t>
      </w:r>
    </w:p>
    <w:p w14:paraId="01A5C7BC" w14:textId="175C90B9" w:rsidR="005B7900" w:rsidRDefault="00000000">
      <w:r>
        <w:t>All Crédit Agricole S</w:t>
      </w:r>
      <w:r w:rsidR="00283683">
        <w:t xml:space="preserve"> e</w:t>
      </w:r>
      <w:r>
        <w:t>ntities provide environmentally and socially responsible services in each customer segment.</w:t>
      </w:r>
    </w:p>
    <w:p w14:paraId="4FEC260D" w14:textId="2F9E8B3D" w:rsidR="005B7900" w:rsidRDefault="00000000">
      <w:r>
        <w:t>The ethics policy is set out in reference documents which constitute a threetier normative framework Code of Ethics, Code of Conduct and Fides Corpus summarising the principles of compliance and ethics as applicable within the Group and in relationships with customers, suppliers, service providers and employees.</w:t>
      </w:r>
    </w:p>
    <w:p w14:paraId="163C4CB1" w14:textId="7F8EA68C" w:rsidR="005B7900" w:rsidRDefault="00000000">
      <w:r>
        <w:t>The taxation policy of Crédit Agricole S</w:t>
      </w:r>
      <w:r w:rsidR="00AB6386">
        <w:t xml:space="preserve"> c</w:t>
      </w:r>
      <w:r>
        <w:t>omplies with transparency and accountability rules that require it to follow the applicable tax laws and regulations in the countries and regions in which it operates.</w:t>
      </w:r>
    </w:p>
    <w:p w14:paraId="2256D0E9" w14:textId="77777777" w:rsidR="005B7900" w:rsidRDefault="00000000">
      <w:r>
        <w:t xml:space="preserve">The Vigilance Plan includes, in accordance with the law, reasonable measures to identify risks and prevent serious violations of human rights and fundamental freedoms, the health </w:t>
      </w:r>
      <w:r>
        <w:lastRenderedPageBreak/>
        <w:t>and safety of persons, and environmental regulations, which could potentially result from the activities of Crédit Agricole S.</w:t>
      </w:r>
    </w:p>
    <w:p w14:paraId="77992D5E" w14:textId="77777777" w:rsidR="005B7900" w:rsidRDefault="00000000">
      <w:r>
        <w:t>In addition, as part of the International Framework Agreement signed with UNI Global Union in 2019 and extended until 31 December 2027, the commitment to respect human rights, freedom of association and trade union rights was reaffirmed.</w:t>
      </w:r>
    </w:p>
    <w:p w14:paraId="4A6E6E3A" w14:textId="77777777" w:rsidR="005B7900" w:rsidRDefault="00000000">
      <w:r>
        <w:t>Group level to promote gender equality at work, diversity and equal representation in management bodies.</w:t>
      </w:r>
    </w:p>
    <w:p w14:paraId="09878350" w14:textId="3CDCA197" w:rsidR="005B7900" w:rsidRDefault="00000000">
      <w:r>
        <w:t>Board of Directors reviews and</w:t>
      </w:r>
      <w:r w:rsidR="00100D98">
        <w:t xml:space="preserve"> </w:t>
      </w:r>
      <w:r>
        <w:t>or approves, on an annual basis see details above the compensation policy and practices.</w:t>
      </w:r>
    </w:p>
    <w:p w14:paraId="5F090551" w14:textId="1418A10A" w:rsidR="005B7900" w:rsidRDefault="00000000">
      <w:r>
        <w:t>The Sustainability and Impact department of Crédit Agricole S</w:t>
      </w:r>
      <w:r w:rsidR="00100D98">
        <w:t xml:space="preserve"> i</w:t>
      </w:r>
      <w:r>
        <w:t>dentifies the major societal issues for the Group, initiates and coordinates the implementation of the ESG strategy and structures all of the social and environmental initiatives within a CSR business line.</w:t>
      </w:r>
    </w:p>
    <w:p w14:paraId="781DCEA3" w14:textId="77777777" w:rsidR="005B7900" w:rsidRDefault="00000000">
      <w:r>
        <w:t>The development of this mechanism will take into account the new European Banking Authority Guidelines on ESG risk management, published in January 2025.</w:t>
      </w:r>
    </w:p>
    <w:p w14:paraId="2A8D37BB" w14:textId="77777777" w:rsidR="005B7900" w:rsidRDefault="00000000">
      <w:r>
        <w:t>The regulatory framework for financial institutions is also less developed.</w:t>
      </w:r>
    </w:p>
    <w:p w14:paraId="069FC5CC" w14:textId="77777777" w:rsidR="005B7900" w:rsidRDefault="00000000">
      <w:r>
        <w:t>The reference framework for sectoral CSR policies also includes the World Bank Group’s standards and, in particular, International Finance Corporation Performance Standards and Environmental, Health and Safety Guidelines as well as, where applicable, sector-specific principles and standards.</w:t>
      </w:r>
    </w:p>
    <w:p w14:paraId="3A73D3D0" w14:textId="77777777" w:rsidR="005B7900" w:rsidRDefault="00000000">
      <w:r>
        <w:t>For example, the mining sector policy refers to the Voluntary Principles on Security and Human Rights and the OECD Due Diligence Guidance for Responsible Supply Chains of Minerals from Conflict and High‑Risk Areas for Tin, Tantalum and Tungsten Ores and Minerals, and Gold.</w:t>
      </w:r>
    </w:p>
    <w:p w14:paraId="0891AEF4" w14:textId="77777777" w:rsidR="005B7900" w:rsidRDefault="00000000">
      <w:r>
        <w:t>While they cannot always be applied as is to other financing methods, they nevertheless constitute a methodological framework for assessing and preventing the social and environmental impacts of financing once it is linked to building a specific industrial asset, such as a plant or transport infrastructure etc.</w:t>
      </w:r>
    </w:p>
    <w:p w14:paraId="57F178B1" w14:textId="772FEAA7" w:rsidR="005B7900" w:rsidRDefault="00000000">
      <w:r>
        <w:t>In addition to the analysis of the criteria specific to CSR sectorspecific policies and the Equator Principles, the quality of the social management of Large Customers Crédit Agricole CIB counterparties with which the Group wishes to develop business relations is assessed in order to obtain a CSR score on a three-point scale Advanced, Compliant and Sensitive.</w:t>
      </w:r>
    </w:p>
    <w:p w14:paraId="65B00507" w14:textId="7B9361B4" w:rsidR="005B7900" w:rsidRDefault="00000000">
      <w:r>
        <w:t>It is chaired by the Compliance Officer, while secretarial support is provided by the ESR Environmental and Social Risks department, which reports to the Risk department.</w:t>
      </w:r>
    </w:p>
    <w:p w14:paraId="2CBDB882" w14:textId="044A0FD8" w:rsidR="005B7900" w:rsidRDefault="00000000">
      <w:r>
        <w:t xml:space="preserve">The Responsible Investment business line, which includes 60 experts, defines and implements Amundi’s sustainable finance strategy in all its dimensions, serving the various </w:t>
      </w:r>
      <w:r>
        <w:lastRenderedPageBreak/>
        <w:t>asset management activities company analysis and rating, engagement and voting, integration of ESG factors and design of sustainable investment solutions, key portfolio sustainability indicators, ESG promotion, and participation in market work and initiatives.</w:t>
      </w:r>
    </w:p>
    <w:p w14:paraId="055C1A56" w14:textId="77777777" w:rsidR="005B7900" w:rsidRDefault="00000000">
      <w:r>
        <w:t>Within the Responsible Investment team, several Committees ensure the regular monitoring of the work carried out, in particular the ESG and Climate Strategy Committee defines, validates and steers Amundi’s ESG and climate strategy, as well as its responsible investment policy.</w:t>
      </w:r>
    </w:p>
    <w:p w14:paraId="396B172E" w14:textId="77777777" w:rsidR="005B7900" w:rsidRDefault="00000000">
      <w:r>
        <w:t>Amundi has a dedicated governance structure to steer its strategy as a responsible financial player and company.</w:t>
      </w:r>
    </w:p>
    <w:p w14:paraId="5C65138E" w14:textId="77777777" w:rsidR="005B7900" w:rsidRDefault="00000000">
      <w:r>
        <w:t>Its Board of Directors primarily relies on the work of the Strategy and CSR Committee.</w:t>
      </w:r>
    </w:p>
    <w:p w14:paraId="2CAC123E" w14:textId="77777777" w:rsidR="005B7900" w:rsidRDefault="00000000">
      <w:r>
        <w:t>Chaired by an independent Director and composed of three members, it examines, at least once a year, the actions taken by the Group in terms of responsible investment and CSR.</w:t>
      </w:r>
    </w:p>
    <w:p w14:paraId="60449E53" w14:textId="77777777" w:rsidR="005B7900" w:rsidRDefault="00000000">
      <w:r>
        <w:t>Our approach is based on universal documents such as the United Nations Global Compact, the OECD Guidelines on Corporate Governance, the International Labour Organisation , the United Nations Framework Convention on Climate Change etc.</w:t>
      </w:r>
    </w:p>
    <w:p w14:paraId="437AD322" w14:textId="77777777" w:rsidR="005B7900" w:rsidRDefault="00000000">
      <w:r>
        <w:t>With regard to Crédit Agricole CIB counterparties, the onboarding process includes an assessment of the counterparty’s governance as a whole, including the Statement of Non-Financial Performance and report.</w:t>
      </w:r>
    </w:p>
    <w:p w14:paraId="5A02984A" w14:textId="77777777" w:rsidR="005B7900" w:rsidRDefault="00000000">
      <w:r>
        <w:t>For any file, the counterparty’s non-financial performance, based on indicators recognised by the market, including its governance system, is one of the elements reviewed by the Board, after consultation with the Strategy Committee and the Risk Committee.</w:t>
      </w:r>
    </w:p>
    <w:p w14:paraId="30994007" w14:textId="77777777" w:rsidR="005B7900" w:rsidRDefault="00000000">
      <w:r>
        <w:t>For any file, the counterparty’s non-financial performance, based on indicators recognised by the market, including its governance system, is one of the elements reviewed by the Board, after consultation with the Strategy Committee.</w:t>
      </w:r>
    </w:p>
    <w:p w14:paraId="023A0AAA" w14:textId="77777777" w:rsidR="005B7900" w:rsidRDefault="00000000">
      <w:r>
        <w:t>In addition, the Statement of Non-Financial Performance, and now the sustainability reports, are presented to the Board of Directors every year.</w:t>
      </w:r>
    </w:p>
    <w:p w14:paraId="07B7BF21" w14:textId="77777777" w:rsidR="005B7900" w:rsidRDefault="00000000">
      <w:r>
        <w:t>For any file, the counterparty’s non-financial performance, based on indicators recognised by the market, including all the elements listed below, is one of the elements reviewed by the Board, after consultation with the Strategy Committee.</w:t>
      </w:r>
    </w:p>
    <w:p w14:paraId="2F2BFE47" w14:textId="77777777" w:rsidR="005B7900" w:rsidRDefault="00000000">
      <w:r>
        <w:t>The development of this mechanism will take into account the new European Banking Authority Guidelines on ESG risk management, published in January 2025.</w:t>
      </w:r>
    </w:p>
    <w:p w14:paraId="45C6B77C" w14:textId="77777777" w:rsidR="005B7900" w:rsidRDefault="00000000">
      <w:r>
        <w:t>The regulatory framework for financial institutions is also less developed.</w:t>
      </w:r>
    </w:p>
    <w:p w14:paraId="7379E87F" w14:textId="77777777" w:rsidR="005B7900" w:rsidRDefault="00000000">
      <w:r>
        <w:t>Defence-related transactions and countries considered risky from a governance perspective are systematically reviewed by compliance.</w:t>
      </w:r>
    </w:p>
    <w:p w14:paraId="26D94D92" w14:textId="77777777" w:rsidR="005B7900" w:rsidRDefault="00000000">
      <w:r>
        <w:lastRenderedPageBreak/>
        <w:t>A process for handling negative information related to Environmental, Social and Governance issues has been defined by the Risk department and the Compliance department, through additional due diligence and more in-depth analysis of information picked up by the business lines.</w:t>
      </w:r>
    </w:p>
    <w:p w14:paraId="7981900F" w14:textId="77777777" w:rsidR="005B7900" w:rsidRDefault="00000000">
      <w:r>
        <w:t>At this stage, the criterion relating to significant harm to at least one of the environmental targets is not taken into account by the supplier.</w:t>
      </w:r>
    </w:p>
    <w:p w14:paraId="7A808E3A" w14:textId="77777777" w:rsidR="005B7900" w:rsidRDefault="00000000">
      <w:r>
        <w:t>In terms of the calculation of GHG emissions, for the sake of consistency and compatibility with the sustainability report, Crédit Agricole Group has changed its approach to the method of integrating its customers’ Scope 3 emissions as at 31 December 2024.</w:t>
      </w:r>
    </w:p>
    <w:p w14:paraId="30DD2DCC" w14:textId="77777777" w:rsidR="005B7900" w:rsidRDefault="00000000">
      <w:r>
        <w:t>Depending on the progress expected in the coming years on the availability of third-party CO2 emissions, Crédit Agricole Group’s approach will evolve in order to publish the most reliable and comprehensive information possible.</w:t>
      </w:r>
    </w:p>
    <w:p w14:paraId="3032C626" w14:textId="47057DFA" w:rsidR="005B7900" w:rsidRDefault="00000000">
      <w:r>
        <w:t>If these sectors are designated as contributing significantly to climate change, the related exposures may be eligible for or aligned with the European Taxonomy on sustainable activities.</w:t>
      </w:r>
    </w:p>
    <w:p w14:paraId="26E86DE2" w14:textId="77777777" w:rsidR="005B7900" w:rsidRDefault="00000000">
      <w:r>
        <w:t>With this background, Crédit Agricole Group decided to provide itself with extensive resources to define targets and pathways in line with a Net Zero scenario.</w:t>
      </w:r>
    </w:p>
    <w:p w14:paraId="3DCC34EB" w14:textId="77777777" w:rsidR="005B7900" w:rsidRDefault="00000000">
      <w:r>
        <w:t>For all other sectors, the reduction targets are set in physical intensity, so as to support the low-carbon transition of our customers.</w:t>
      </w:r>
    </w:p>
    <w:p w14:paraId="5E16EF97" w14:textId="284E78A8" w:rsidR="005B7900" w:rsidRDefault="00000000">
      <w:r>
        <w:t>For these eight sectors covered by quantified emission reduction targets, as part of the Pillar 3 ESG exercise, we have deducted +3-year targets from our NZBA commitments by 2030.</w:t>
      </w:r>
    </w:p>
    <w:p w14:paraId="30F253FD" w14:textId="77777777" w:rsidR="005B7900" w:rsidRDefault="00000000">
      <w:r>
        <w:t>In accordance with the model’s requirements, Crédit Agricole Group used portals, databases and studies made available by EU bodies, national governments and private players to identify locations exposed to climate change-related events and to estimate the sensitivity of assets and activities to these events, based on projections to 2050, according to the Representative Concentration Pathway 4.</w:t>
      </w:r>
    </w:p>
    <w:p w14:paraId="5B8CEC79" w14:textId="65779ECB" w:rsidR="005B7900" w:rsidRDefault="00000000">
      <w:r>
        <w:t>The identification and assessment of physical risks, within the framework of the Climate change adaptation DNSH, were based on the methodology used for Banking portfolio – Physical risk metrics potentially related to climate change Exposures subject to a physical risk of ESG Pillar 3.</w:t>
      </w:r>
    </w:p>
    <w:p w14:paraId="4858B672" w14:textId="77777777" w:rsidR="005B7900" w:rsidRDefault="00000000">
      <w:r>
        <w:t>In addition, the analysis of Minimum Social Safeguards was not taken into account for retail activities, as Crédit Agricole Group considers MSS to be complied with de facto in its portfolio, which is mainly a loan book for residential mortgage in France for which current regulations allow compliance with minimum social criteria.</w:t>
      </w:r>
    </w:p>
    <w:sectPr w:rsidR="005B79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75814509">
    <w:abstractNumId w:val="8"/>
  </w:num>
  <w:num w:numId="2" w16cid:durableId="1649087257">
    <w:abstractNumId w:val="6"/>
  </w:num>
  <w:num w:numId="3" w16cid:durableId="1591112495">
    <w:abstractNumId w:val="5"/>
  </w:num>
  <w:num w:numId="4" w16cid:durableId="494997058">
    <w:abstractNumId w:val="4"/>
  </w:num>
  <w:num w:numId="5" w16cid:durableId="1606576946">
    <w:abstractNumId w:val="7"/>
  </w:num>
  <w:num w:numId="6" w16cid:durableId="65498525">
    <w:abstractNumId w:val="3"/>
  </w:num>
  <w:num w:numId="7" w16cid:durableId="1785074236">
    <w:abstractNumId w:val="2"/>
  </w:num>
  <w:num w:numId="8" w16cid:durableId="1377779592">
    <w:abstractNumId w:val="1"/>
  </w:num>
  <w:num w:numId="9" w16cid:durableId="179294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FF"/>
    <w:rsid w:val="00034616"/>
    <w:rsid w:val="0006063C"/>
    <w:rsid w:val="000B147E"/>
    <w:rsid w:val="000D0806"/>
    <w:rsid w:val="00100D98"/>
    <w:rsid w:val="0015074B"/>
    <w:rsid w:val="0016554D"/>
    <w:rsid w:val="001D323F"/>
    <w:rsid w:val="001E17AF"/>
    <w:rsid w:val="00283683"/>
    <w:rsid w:val="0029639D"/>
    <w:rsid w:val="00326F90"/>
    <w:rsid w:val="003C09AE"/>
    <w:rsid w:val="004405F8"/>
    <w:rsid w:val="004F5755"/>
    <w:rsid w:val="005B7900"/>
    <w:rsid w:val="00602AC6"/>
    <w:rsid w:val="006F508A"/>
    <w:rsid w:val="008450AE"/>
    <w:rsid w:val="009B66A9"/>
    <w:rsid w:val="009E7A75"/>
    <w:rsid w:val="00A135A9"/>
    <w:rsid w:val="00AA1D8D"/>
    <w:rsid w:val="00AB6386"/>
    <w:rsid w:val="00B47730"/>
    <w:rsid w:val="00B93B3F"/>
    <w:rsid w:val="00CB0664"/>
    <w:rsid w:val="00D13267"/>
    <w:rsid w:val="00F44F1B"/>
    <w:rsid w:val="00F72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64B9A"/>
  <w14:defaultImageDpi w14:val="300"/>
  <w15:docId w15:val="{1A27D550-DCFB-CE4D-9724-BC4A4A2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5739</Words>
  <Characters>32717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21</cp:revision>
  <dcterms:created xsi:type="dcterms:W3CDTF">2013-12-23T23:15:00Z</dcterms:created>
  <dcterms:modified xsi:type="dcterms:W3CDTF">2025-08-03T19:36:00Z</dcterms:modified>
  <cp:category/>
</cp:coreProperties>
</file>