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576C8" w14:textId="77777777" w:rsidR="00E87515" w:rsidRDefault="00000000">
      <w:r>
        <w:t>The entities structural risk management and oversight systems are also submitted to the Finance Department and the Risk Department.</w:t>
      </w:r>
    </w:p>
    <w:p w14:paraId="107AA76F" w14:textId="77777777" w:rsidR="00E87515" w:rsidRDefault="00000000">
      <w:r>
        <w:t>During its Capital Markets Day event, the Group presented its strategic plan, which is to, This strategic plan is reflected in the following financial targets, be a rock‑solid bank, streamline business portfolio, enhance stewardship of capital, improve operational efficiency, maintain best‑in‑class risk management.</w:t>
      </w:r>
    </w:p>
    <w:p w14:paraId="4C75F975" w14:textId="77777777" w:rsidR="00E87515" w:rsidRDefault="00000000">
      <w:r>
        <w:t>Societe Generale has placed Environmental, Social and Governance at the heart of its strategy in order to contribute to positive transformations in the environment and the development of local regions.</w:t>
      </w:r>
    </w:p>
    <w:p w14:paraId="64EFD6D1" w14:textId="77777777" w:rsidR="00E87515" w:rsidRDefault="00000000">
      <w:r>
        <w:t>The Group is subject to an extended regulatory framework in each of the countries in which it operates.</w:t>
      </w:r>
    </w:p>
    <w:p w14:paraId="6010FD8B" w14:textId="77777777" w:rsidR="00E87515" w:rsidRDefault="00000000">
      <w:r>
        <w:t>Changes to this regulatory framework could have a negative effect on the Groups businesses, financial position and costs, as well as on the financial and economic environment in which it operates.</w:t>
      </w:r>
    </w:p>
    <w:p w14:paraId="06DBB3BD" w14:textId="77777777" w:rsidR="00E87515" w:rsidRDefault="00000000">
      <w:r>
        <w:t>The project could lead to some staff departures, requiring their replacement and training efforts that could potentially generate additional costs.</w:t>
      </w:r>
    </w:p>
    <w:p w14:paraId="3061A1F6" w14:textId="77777777" w:rsidR="00E87515" w:rsidRDefault="00000000">
      <w:r>
        <w:t>More generally, in the context of agreements with US and French authorities, the Group largely implemented, through a dedicated programme and a specific organisation, corrective actions to address identified deficiencies and strengthen its compliance programme.</w:t>
      </w:r>
    </w:p>
    <w:p w14:paraId="2C8F1D21" w14:textId="6A463495" w:rsidR="00E87515" w:rsidRDefault="004F3AAF">
      <w:r>
        <w:t xml:space="preserve">New legal and regulatory obligations could also be imposed on the Group in the future, such as the continuation in France of consumer protection measures weighing on retail banks, and the potential obligation at European level to </w:t>
      </w:r>
      <w:proofErr w:type="gramStart"/>
      <w:r>
        <w:t>open up</w:t>
      </w:r>
      <w:proofErr w:type="gramEnd"/>
      <w:r>
        <w:t xml:space="preserve"> access to banking data to third‑party service providers.</w:t>
      </w:r>
    </w:p>
    <w:p w14:paraId="095D4EC3" w14:textId="76573946" w:rsidR="00E87515" w:rsidRDefault="007B3EFF">
      <w:r>
        <w:t>The implementation of European regulatory frameworks related to due diligence under the so‑called CS3D Directive proposal Corporate Sustainability Due Diligence Directive, as well as to sustainable finance including the regulation on European green bonds, with an increase in non‑financial reporting obligations, particularly under the CSRD Directive Corporate Sustainability Reporting Directive, enhanced inclusion of environmental, social and governance issues in risk management activities and the inclusion of such risks in the supervisory review and assessment process Supervisory Review and Evaluation Process, or SREP.</w:t>
      </w:r>
    </w:p>
    <w:p w14:paraId="5BA34529" w14:textId="77777777" w:rsidR="00E87515" w:rsidRDefault="00000000">
      <w:r>
        <w:t>Moreover, competition is also heightened by the emergence of non‑banking actors that, in some cases, may benefit from a regulatory framework that is more flexible and in particular less demanding in terms of equity capital requirements.</w:t>
      </w:r>
    </w:p>
    <w:p w14:paraId="21A12A2F" w14:textId="77777777" w:rsidR="00E87515" w:rsidRDefault="00000000">
      <w:r>
        <w:lastRenderedPageBreak/>
        <w:t>To address these challenges, the Group has implemented a strategy, notably the development of digital technologies and the creatioin of commercial or equity partnerships with these new actors.</w:t>
      </w:r>
    </w:p>
    <w:p w14:paraId="3EDC2351" w14:textId="77777777" w:rsidR="00E87515" w:rsidRDefault="00000000">
      <w:r>
        <w:t>The Group is consequently exposed to environmental risks, including climate change risks through certain of its financing, investment and service activities.</w:t>
      </w:r>
    </w:p>
    <w:p w14:paraId="1E43B6E4" w14:textId="77777777" w:rsidR="00E87515" w:rsidRDefault="00000000">
      <w:r>
        <w:t>In addition, the Group is exposed to social risks, related for example to non‑compliance by some of its counterparties with labour laws or workplace health and safety issues, which may trigger or aggravate reputation and credit risks for the Group.</w:t>
      </w:r>
    </w:p>
    <w:p w14:paraId="26CC01DA" w14:textId="77777777" w:rsidR="00E87515" w:rsidRDefault="00000000">
      <w:r>
        <w:t>Hence, the Group is exposed to physical climate risk with respect to its ability to maintain its services in geographical areas affected by extreme events floods, etc.</w:t>
      </w:r>
    </w:p>
    <w:p w14:paraId="7B6FC46F" w14:textId="77777777" w:rsidR="00E87515" w:rsidRDefault="00000000">
      <w:r>
        <w:t>The Group also remains exposed to specific social and governance risks, relating for example to the operational cost of implementation of regulations in particular related to labour laws and the management of its human resources.</w:t>
      </w:r>
    </w:p>
    <w:p w14:paraId="09CFD807" w14:textId="77777777" w:rsidR="00E87515" w:rsidRDefault="00000000">
      <w:r>
        <w:t>The Group is exposed to risks related to clearing institutions and particularly to the default of one or more of their members because of the increase in transactions traded through these institutions, induced in part by regulatory changes that require mandatory clearing for over‑the‑counter derivative instruments standardised by these clearing counterparties.</w:t>
      </w:r>
    </w:p>
    <w:p w14:paraId="059F4835" w14:textId="77777777" w:rsidR="00E87515" w:rsidRDefault="00000000">
      <w:r>
        <w:t>A sharp increase in key rates combined with a context of high inflation can have negative effects, particularly in France, due to the upward interest‑rate adjustment to the remuneration on certain savings products the Livret A savings account, in particular and the inability to fully pass on the increase to client rates for assets such as mortgage and consumer loans in addition to the specific problems associated with the usury rate in the French market.</w:t>
      </w:r>
    </w:p>
    <w:p w14:paraId="4AA1CD8E" w14:textId="77777777" w:rsidR="00E87515" w:rsidRDefault="00000000">
      <w:r>
        <w:t>However, these risk management approaches are based on a set of assumptions and reasoning that could turn out to be inadequate in certain configurations or in the case of unexpected events, resulting in a potential underestimation of risks and a significant negative effect on the results of the Groups market activities.</w:t>
      </w:r>
    </w:p>
    <w:p w14:paraId="3C57922F" w14:textId="77777777" w:rsidR="00E87515" w:rsidRDefault="00000000">
      <w:r>
        <w:t>There has been an increase in client, depositor, creditor and investor litigation and regulatory proceedings against intermediaries such as banks and investment advisors in recent years, in part due to the challenging market environment.</w:t>
      </w:r>
    </w:p>
    <w:p w14:paraId="068FE780" w14:textId="77777777" w:rsidR="00E87515" w:rsidRDefault="00000000">
      <w:r>
        <w:t>The Groups reputation for financial strength and integrity is critical to its ability to foster loyalty and develop its relationships with clients and other counterparties in a highly competitive environment.</w:t>
      </w:r>
    </w:p>
    <w:p w14:paraId="59B0C57B" w14:textId="77777777" w:rsidR="00E87515" w:rsidRDefault="00000000">
      <w:r>
        <w:t>Inadequate career and skills management integration, career prospects, training, HR support, compensation levels in line with market practice, etc.</w:t>
      </w:r>
    </w:p>
    <w:p w14:paraId="6D94F16C" w14:textId="77777777" w:rsidR="00E87515" w:rsidRDefault="00000000">
      <w:r>
        <w:lastRenderedPageBreak/>
        <w:t>That said, they may be unsuitable due to a change in macroeconomic regime for instance, significant movements in interest rates or inflation, in the competitive or regulatory environment, andor in the Banks commercial policy, which would therefore temporarily make the resulting hedging strategies inappropriate, thereby potentially harming bank revenues.</w:t>
      </w:r>
    </w:p>
    <w:p w14:paraId="05FEB21A" w14:textId="6C4E1E7B" w:rsidR="00E87515" w:rsidRDefault="00000000">
      <w:r>
        <w:t>W</w:t>
      </w:r>
      <w:r w:rsidR="00F00C50">
        <w:t>e</w:t>
      </w:r>
      <w:r>
        <w:t xml:space="preserve"> calibrating its capital indicators consistent with the results of the ICAAP group process to ensure, W</w:t>
      </w:r>
      <w:r w:rsidR="00742E35">
        <w:t>e</w:t>
      </w:r>
      <w:r>
        <w:t xml:space="preserve"> satisfaction of minimum regulatory requirements on CET1 ratio, financial conglomerate ratio requirement, which take into consideration the combined solvency of Group banking and insuring activities, coverage of one year of internal capital requirement using available CET1 capital, a sufficient level of creditor protection consistent with a debt issuance program that is particularly hybrid consistent with the Groups objectives in terms of rating and regulatory ratios such as Tier 1, TLAC Total Loss Absorbing Capacity, MREL Minimum Required Eligible Liabilities, and the leverage ratio.</w:t>
      </w:r>
    </w:p>
    <w:p w14:paraId="17033849" w14:textId="77777777" w:rsidR="00E87515" w:rsidRDefault="00000000">
      <w:r>
        <w:t>Concerning ESG risks Environmental, Social &amp; Governance, the assessment and management of the impact of ESG risk factors on credit risk is particularly based on portfolio alignment indicators power generation for example.</w:t>
      </w:r>
    </w:p>
    <w:p w14:paraId="7192FBC5" w14:textId="77777777" w:rsidR="00E87515" w:rsidRDefault="00000000">
      <w:r>
        <w:t>In general, credit granting policies must comply with the criteria defined within the framework of the Groups Social and Environmental Responsibility policy, which is broken down through, The risk related to climate change is taken into consideration in the credit risk assessment process.</w:t>
      </w:r>
    </w:p>
    <w:p w14:paraId="2ED197B3" w14:textId="77777777" w:rsidR="00E87515" w:rsidRDefault="00000000">
      <w:r>
        <w:t>In addition, over the course of 2023, the climate vulnerability assessment dedicated to transition risk will be fully integrated in the credit grating process and tools.</w:t>
      </w:r>
    </w:p>
    <w:p w14:paraId="39B56D7E" w14:textId="77777777" w:rsidR="00E87515" w:rsidRDefault="00000000">
      <w:r>
        <w:t>Thus, counterparty credit risk management is based on a combination of several types of indicators, , the general environmental and social principles and the sectoral and cross‑cutting policies appended to them.</w:t>
      </w:r>
    </w:p>
    <w:p w14:paraId="00364ED9" w14:textId="77777777" w:rsidR="00E87515" w:rsidRDefault="00000000">
      <w:r>
        <w:t>W the targets for alignment with the objectives of the Paris agreement, which the Group has set itself, starting with the sectors with the highest CO emissions.</w:t>
      </w:r>
    </w:p>
    <w:p w14:paraId="3E7B86AA" w14:textId="77777777" w:rsidR="00E87515" w:rsidRDefault="00000000">
      <w:r>
        <w:t>Market risk Group market activities are guided as part of a development strategy focused in priority for meeting the customer needs, with a complete range of solutions.</w:t>
      </w:r>
    </w:p>
    <w:p w14:paraId="23EA0B91" w14:textId="77777777" w:rsidR="00E87515" w:rsidRDefault="00000000">
      <w:r>
        <w:t>Non financial risks including compliance risk Non‑financial risks are defined as non‑compliance risk, risk of inappropriate conduct, IT risk, cybersecurity risk, other operational risks, including operational risk associated with credit risk, market risk, model risk, liquidity and financing, structural and rate risk.</w:t>
      </w:r>
    </w:p>
    <w:p w14:paraId="64CA7970" w14:textId="77777777" w:rsidR="00E87515" w:rsidRDefault="00000000">
      <w:r>
        <w:t>Furthermore, the Group maintains a zero‑tolerance policy on incidents severe enough to potentially inflict serious harm to its image, jeopardise its results or the trust displayed by customers and employees, disrupt the continuity of critical operations or call into question its strategic focus.</w:t>
      </w:r>
    </w:p>
    <w:p w14:paraId="46A1ADA1" w14:textId="77777777" w:rsidR="00E87515" w:rsidRDefault="00000000">
      <w:r>
        <w:lastRenderedPageBreak/>
        <w:t>It has a barometer that measures the maturity of the cybersecurity controls deployed within its entities and the appropriate organisation to deal with any incidents.</w:t>
      </w:r>
    </w:p>
    <w:p w14:paraId="438EE190" w14:textId="77777777" w:rsidR="00E87515" w:rsidRDefault="00000000">
      <w:r>
        <w:t>W managerial continuity, the Group intends to ensure the managerial continuity of its organisation to avoid the risk of a long‑term absence of a manager that would question the achievement of its strategic objectives, which might threaten team cohesion or disrupt the Groups relationships with its stakeholders.</w:t>
      </w:r>
    </w:p>
    <w:p w14:paraId="5B70369D" w14:textId="77777777" w:rsidR="00E87515" w:rsidRDefault="00000000">
      <w:r>
        <w:t>Notwithstanding a robust framework of internal control systems, the risk of errors cannot be completely avoided.</w:t>
      </w:r>
    </w:p>
    <w:p w14:paraId="7AEC150D" w14:textId="77777777" w:rsidR="00E87515" w:rsidRDefault="00000000">
      <w:r>
        <w:t>W implementing the necessary measures and conducting transactions in the respect of the integrity of the markets.</w:t>
      </w:r>
    </w:p>
    <w:p w14:paraId="4DF082C4" w14:textId="02F4A18E" w:rsidR="00E87515" w:rsidRDefault="00000000">
      <w:r>
        <w:t>The risks on social commitments result from the deficit between the social liabilities and the related financial assets.</w:t>
      </w:r>
    </w:p>
    <w:p w14:paraId="1ED57A63" w14:textId="77777777" w:rsidR="00E87515" w:rsidRDefault="00000000">
      <w:r>
        <w:t>The risk management policy has two main objectives, reduce risk by moving from defined‑benefit plans to defined‑contribution plans and optimize asset risk allocation between hedge assets and performance assets where allowed by regulatory and tax constraints.</w:t>
      </w:r>
    </w:p>
    <w:p w14:paraId="7EC4F1FE" w14:textId="67FDCC08" w:rsidR="00E87515" w:rsidRDefault="00225B73">
      <w:r>
        <w:t>Support clients and business development of the retail banking network through SGRF and certain subsidiaries abroad.</w:t>
      </w:r>
    </w:p>
    <w:p w14:paraId="648488CB" w14:textId="77777777" w:rsidR="00E87515" w:rsidRDefault="00000000">
      <w:r>
        <w:t>The governance in place on residual value risk aims to monitor used car market price evolutions and adapt the Companys pricing and financial policy.</w:t>
      </w:r>
    </w:p>
    <w:p w14:paraId="4B80C6C3" w14:textId="77777777" w:rsidR="00E87515" w:rsidRDefault="00000000">
      <w:r>
        <w:t>Monitoring of risk appetite is performed according to the principles described in the Risk Appetite Framework governance and implementation mechanism, which are summarised below.</w:t>
      </w:r>
    </w:p>
    <w:p w14:paraId="2655F9B6" w14:textId="77777777" w:rsidR="00E87515" w:rsidRDefault="00000000">
      <w:r>
        <w:t>In addition, the main mission of the Risk Department is to draw up the document summarising the Groups risk appetite, as well as the implementation of a risk management, monitoring and control system.</w:t>
      </w:r>
    </w:p>
    <w:p w14:paraId="4B5990E9" w14:textId="77777777" w:rsidR="00E87515" w:rsidRDefault="00000000">
      <w:r>
        <w:t>The Compliance Department is also responsible for instructing the risk appetite setting for indicators falling within its scope.</w:t>
      </w:r>
    </w:p>
    <w:p w14:paraId="4B140C24" w14:textId="0F93EE46" w:rsidR="00E87515" w:rsidRDefault="00B33FE1">
      <w:r>
        <w:t>On an annual basis, review and validate the Groups Risk Appetite Framework, before submitting it to the Société Générale Board of Directors.</w:t>
      </w:r>
    </w:p>
    <w:p w14:paraId="5B22A16F" w14:textId="77777777" w:rsidR="00E87515" w:rsidRDefault="00000000">
      <w:r>
        <w:t>The purpose of the GICCC is to ensure the consistency and effectiveness of the Groups internal control, in response in particular to the obligation laid down in Art.</w:t>
      </w:r>
    </w:p>
    <w:p w14:paraId="16A2AAE0" w14:textId="77777777" w:rsidR="00E87515" w:rsidRDefault="00000000">
      <w:r>
        <w:t>Together with the Service Units, Business Units and other Société Générale Group entities, it ensures the administrative, legal and tax compliance of the Groups activities, both in France and abroad.</w:t>
      </w:r>
    </w:p>
    <w:p w14:paraId="79821BD4" w14:textId="77777777" w:rsidR="00E87515" w:rsidRDefault="00000000">
      <w:r>
        <w:lastRenderedPageBreak/>
        <w:t>Lastly, it handles the Groups central administration and offers support to the Board of Directors and its Secretary as necessary.</w:t>
      </w:r>
    </w:p>
    <w:p w14:paraId="0F7286A9" w14:textId="77777777" w:rsidR="00E87515" w:rsidRDefault="00000000">
      <w:r>
        <w:t>It supports the Group ESG transformation to make it a major competitive advantage, in the business development as well as in the ESG Environmental &amp; Social risks management.</w:t>
      </w:r>
    </w:p>
    <w:p w14:paraId="37A4B16D" w14:textId="77777777" w:rsidR="00E87515" w:rsidRDefault="00000000">
      <w:r>
        <w:t>Departments established within the Risk, Finance and Compliance sectors are responsible for measuring, analysing and communicating these elements.</w:t>
      </w:r>
    </w:p>
    <w:p w14:paraId="443766A2" w14:textId="77777777" w:rsidR="00E87515" w:rsidRDefault="00000000">
      <w:r>
        <w:t>W monthly reporting to the Risk Committee of the Board of Directors aims to provide an overview of changes in the risk profile.</w:t>
      </w:r>
    </w:p>
    <w:p w14:paraId="1C692BFF" w14:textId="77777777" w:rsidR="00E87515" w:rsidRDefault="00000000">
      <w:r>
        <w:t>W This reporting is complemented by dashboard for monitoring the Groups Risk Appetite Statement indicators is also sent quarterly to the Board of Directors.</w:t>
      </w:r>
    </w:p>
    <w:p w14:paraId="09C992A2" w14:textId="77777777" w:rsidR="00E87515" w:rsidRDefault="00000000">
      <w:r>
        <w:t>These indicators are framed and presented using a traffic light approach with distinction between thresholds and limits in order to visually present monitoring of compliance with risk appetite.</w:t>
      </w:r>
    </w:p>
    <w:p w14:paraId="150AFEC9" w14:textId="77777777" w:rsidR="00E87515" w:rsidRDefault="00000000">
      <w:r>
        <w:t>In addition, a compliance dashboard and a reputation dashboard are sent to the Risk Committee of the Board of Directors and provide an overview of each non‑compliance risk.</w:t>
      </w:r>
    </w:p>
    <w:p w14:paraId="61DD25C1" w14:textId="77777777" w:rsidR="00E87515" w:rsidRDefault="00000000">
      <w:r>
        <w:t>W the quarterly reporting of the Group Compliance Committee to General Management, the COMCO provides via dedicated reporting an overview of the main non‑compliance risks, raises points of attention on compliance topics Group, decides on the main orientations and defines the Group principles in terms of compliance.</w:t>
      </w:r>
    </w:p>
    <w:p w14:paraId="7BFE5AEA" w14:textId="084231FF" w:rsidR="00E87515" w:rsidRDefault="00B33FE1">
      <w:r>
        <w:t>Reporting by the Group Internal Control Coordination Committee to General Management, this Committee reviews, on the basis of a standardised dashboard for all Business UnitsService Units, the efficiency and the consistency of the permanent control system implemented within the Group, as well as, within the framework of the Risk Internal Governance Assessment process, the ability of the Risk function to exercise its role as the 2 line of defence in the whole group.</w:t>
      </w:r>
    </w:p>
    <w:p w14:paraId="67F2C23C" w14:textId="77777777" w:rsidR="00E87515" w:rsidRDefault="00000000">
      <w:r>
        <w:t>In order to build the capacity to deal on products referencing RFRs and thus ensure the continuity of its business after the phasing out of IBOR, the Group SG updated its tools and processes Moreover, the Group continues monitoring developments in the use of RFRs rates in order to meet its customers needs.</w:t>
      </w:r>
    </w:p>
    <w:p w14:paraId="671261F8" w14:textId="77777777" w:rsidR="00E87515" w:rsidRDefault="00000000">
      <w:r>
        <w:t>As such, General Management and Risk Division submits reports to the Audit and Internal Control Committee on the internal control of the Group.</w:t>
      </w:r>
    </w:p>
    <w:p w14:paraId="47454FB2" w14:textId="77777777" w:rsidR="00E87515" w:rsidRDefault="00000000">
      <w:r>
        <w:t>Risk management and control systems are therefore key to the Banks ability to meet its targets.</w:t>
      </w:r>
    </w:p>
    <w:p w14:paraId="76858D8B" w14:textId="1A2DF9A2" w:rsidR="00985E1E" w:rsidRDefault="00000000">
      <w:r>
        <w:t xml:space="preserve">The internal control system is represented by all methods which ensure that the operations carried out and the organisation and procedures implemented comply with, Internal control </w:t>
      </w:r>
      <w:r>
        <w:lastRenderedPageBreak/>
        <w:t xml:space="preserve">in particular aims to, </w:t>
      </w:r>
      <w:r w:rsidR="00EC7125">
        <w:t>t</w:t>
      </w:r>
      <w:r>
        <w:t>he internal control system is based on five basic principles, a well‑defined, transparent and coherent sharing of responsibilities.</w:t>
      </w:r>
    </w:p>
    <w:p w14:paraId="65A577FC" w14:textId="7C940D05" w:rsidR="00E87515" w:rsidRDefault="00985E1E">
      <w:r>
        <w:t>The individual responsibility of each employee and each manager in managing the risks they take or supervise, and in overseeing the operations they handle or for which they are responsible.</w:t>
      </w:r>
    </w:p>
    <w:p w14:paraId="17F8F037" w14:textId="77777777" w:rsidR="00E87515" w:rsidRDefault="00000000">
      <w:r>
        <w:t>Accordingly, these functions must provide the necessary expertise to define in their respective fields the controls and other means of risk management to be implemented by the first line of defence, and to ensure that they are effectively implemented.</w:t>
      </w:r>
    </w:p>
    <w:p w14:paraId="44243683" w14:textId="77777777" w:rsidR="00E87515" w:rsidRDefault="00000000">
      <w:r>
        <w:t>The purpose of the Group Internal Control Coordination Committee is to ensure the consistency and effectiveness of the Groups internal control, in response in particular to the obligation laid down in Art.</w:t>
      </w:r>
    </w:p>
    <w:p w14:paraId="3C4C12D6" w14:textId="20C32B7E" w:rsidR="00E87515" w:rsidRDefault="00E513F4">
      <w:r>
        <w:t>Evaluate the Groups internal control framework in terms of effectiveness, consistency, and completeness.</w:t>
      </w:r>
    </w:p>
    <w:p w14:paraId="4D7B6E03" w14:textId="23E4ECB9" w:rsidR="00E87515" w:rsidRDefault="00E513F4">
      <w:r>
        <w:t>Evaluate the operation Groups permanent control framework based on the analysis of the Groups quarterly permanent control dashboard, completed by cross‑functional thematic reviews and by the independent reviews of RISQ and CPLE in their role as the Groups second line of defense.</w:t>
      </w:r>
    </w:p>
    <w:p w14:paraId="133853DE" w14:textId="77777777" w:rsidR="00E87515" w:rsidRDefault="00000000">
      <w:r>
        <w:t>As such, they must apply formal procedures on a regular basis to ensure that employees comply with rules and procedures, and that Level 1 controls are carried out effectively.</w:t>
      </w:r>
    </w:p>
    <w:p w14:paraId="72F618E7" w14:textId="77777777" w:rsidR="00E87515" w:rsidRDefault="00000000">
      <w:r>
        <w:t>These controls are performed centrally by dedicated teams within Risk Service Unit RISQCTL, Compliance Service Unit CPLECTL and Finance Service Unit DFINCTL and locally by the second‑level control teams within the BUSUs or entities.</w:t>
      </w:r>
    </w:p>
    <w:p w14:paraId="66264B07" w14:textId="77777777" w:rsidR="00E87515" w:rsidRDefault="00000000">
      <w:r>
        <w:t>The internal audit function performed by IGAD, defined in accordance with IIA Institute of Internal Auditors standards, is an independent and objective activity that gives the Group assurance on the level of control of its risks and operations, provides advice to improve them and helps create added value.</w:t>
      </w:r>
    </w:p>
    <w:p w14:paraId="66194826" w14:textId="77777777" w:rsidR="00E87515" w:rsidRDefault="00000000">
      <w:r>
        <w:t>Through the exercise of this mandate, Inspection and Internal Audit help the Group to achieve its objectives by evaluating, through a systematic and methodical approach, its risk management, controls, and corporate governance processes and by making proposals to strengthen their effectiveness.</w:t>
      </w:r>
    </w:p>
    <w:p w14:paraId="72F1B643" w14:textId="77777777" w:rsidR="00E87515" w:rsidRDefault="00000000">
      <w:r>
        <w:t>In order to achieve its objectives, the General Inspection and Internal Audit Service Unit is provided with appropriate resources, proportionate to the challenges, both in terms of quality and quantity.</w:t>
      </w:r>
    </w:p>
    <w:p w14:paraId="3DEA2E16" w14:textId="77777777" w:rsidR="00E87515" w:rsidRDefault="00000000">
      <w:r>
        <w:t>Internal Audit combines this approach with the requirement to comply with a five‑year audit cycle and determines the frequency of its interventions according to the level of risk of the scopes to be audited.</w:t>
      </w:r>
    </w:p>
    <w:p w14:paraId="5BF6E4AC" w14:textId="77777777" w:rsidR="00E87515" w:rsidRDefault="00000000">
      <w:r>
        <w:lastRenderedPageBreak/>
        <w:t>While the General Inspection Department is not required to comply with an audit cycle, its work is considered for the compliance with the audit cycle.</w:t>
      </w:r>
    </w:p>
    <w:p w14:paraId="29AF7CCB" w14:textId="77777777" w:rsidR="00E87515" w:rsidRDefault="00000000">
      <w:r>
        <w:t>This work continued in 2023 with regular presentations to the General Management in coordination with the General Secretariat and to the Audit and Internal Control Committee.</w:t>
      </w:r>
    </w:p>
    <w:p w14:paraId="4C533736" w14:textId="77777777" w:rsidR="00E87515" w:rsidRDefault="00000000">
      <w:r>
        <w:t>W In the framework of these missions, it is in charge of, monitoring the financial aspects of the Groups capital transactions and its financial structure, managing its assets and liabilities, and consequently defining, managing and controlling the Groups financial position and structural risks, ensuring that the regulatory financial ratios are respected, defining accounting and regulatory standards, frameworks, principles and procedures for the Group, and ensuring that they are observed, verifying the accuracy of all financial and accounting data published by the Group.</w:t>
      </w:r>
    </w:p>
    <w:p w14:paraId="2F79E6B0" w14:textId="77777777" w:rsidR="00E87515" w:rsidRDefault="00000000">
      <w:r>
        <w:t>These teams carry out a series of controls defined by Group procedures on financial and accounting data, in particular, Given the increasing complexity of the Groups financial activities and organisation, staff training and IT tools are regularly upgraded to ensure that the production and verification of accounting and management data are effective and reliable.</w:t>
      </w:r>
    </w:p>
    <w:p w14:paraId="7293C022" w14:textId="77777777" w:rsidR="00E87515" w:rsidRDefault="00000000">
      <w:r>
        <w:t>The Finance Departments also rely on shared service centers that perform Level 1 controls necessary to ensure the reliability of accounting, tax and regulatory information on the financial statements they produce in accordance with local and IFRS standards and notably data quality and consistency checks equity, securities, foreign exchange, financial aggregates from the balance sheet and income statement, deviations from standards, justification and certification of the financial statements under their responsibility, intercompany reconciliation of the financial statements, regulatory statement checks and verification of evidence of tax charges and balances current, deferred and duties.</w:t>
      </w:r>
    </w:p>
    <w:p w14:paraId="293EBC28" w14:textId="77777777" w:rsidR="00E87515" w:rsidRDefault="00000000">
      <w:r>
        <w:t>A team in this department is in charge of managing and coordinating the Group accounting certification framework to certify first‑level controls on a quarterly basis internal control certification.</w:t>
      </w:r>
    </w:p>
    <w:p w14:paraId="66C52245" w14:textId="5E5443DE" w:rsidR="00E87515" w:rsidRDefault="00E513F4">
      <w:r>
        <w:t>Ensure the inclusion of all entities that must be consolidated in accordance with Group regulations.</w:t>
      </w:r>
    </w:p>
    <w:p w14:paraId="33C0A5CE" w14:textId="77777777" w:rsidR="00E87515" w:rsidRDefault="00000000">
      <w:r>
        <w:t>Internal audit and periodic control framework for accounting processes Internal Audit and the General Inspection define their audits and inspections using a risk‑based approach and define an annual work program Inspection and Audit plan schedule plan de tournée.</w:t>
      </w:r>
    </w:p>
    <w:p w14:paraId="00A5A987" w14:textId="77777777" w:rsidR="00E87515" w:rsidRDefault="00000000">
      <w:r>
        <w:t>The department in charge of auditing the Groups Central Departments is responsible for auditing the Group Finance Department.</w:t>
      </w:r>
    </w:p>
    <w:p w14:paraId="6E6563C7" w14:textId="77777777" w:rsidR="00E87515" w:rsidRDefault="00000000">
      <w:r>
        <w:t>Within that Department, a distinct team, placed under the responsibility of a dedicated Audit Business Correspondent, monitors and animates audit work related to accounting and financial matters on a Group‑wide basis.</w:t>
      </w:r>
    </w:p>
    <w:p w14:paraId="42B1AAED" w14:textId="77777777" w:rsidR="00E87515" w:rsidRDefault="00000000">
      <w:r>
        <w:lastRenderedPageBreak/>
        <w:t>The general framework defined by Basel III is structured around three pillars, Several amendments to European regulatory standards were adopted in May 2019 CRR2CRD5.</w:t>
      </w:r>
    </w:p>
    <w:p w14:paraId="34F71F0A" w14:textId="77777777" w:rsidR="00E87515" w:rsidRDefault="00000000">
      <w:r>
        <w:t>The Group has an internal capital adequacy assessment process that measures and explains changes in the Groups capital ratios over time, taking into account future regulatory constraints where appropriate.</w:t>
      </w:r>
    </w:p>
    <w:p w14:paraId="076E8D6A" w14:textId="77777777" w:rsidR="00E87515" w:rsidRDefault="00000000">
      <w:r>
        <w:t>These regulatory indicators are supplemented by an assessment of the coverage of internal capital needs by available internal capital and thus confirming via an economic perspective, the relevance of the targets set in the risk appetite.</w:t>
      </w:r>
    </w:p>
    <w:p w14:paraId="3733D9A0" w14:textId="77777777" w:rsidR="00E87515" w:rsidRDefault="00000000">
      <w:r>
        <w:t>Every year, in compliance with local capital and liquidity regulatory requirements, the Group reviews the capitalisation of its subsidiaries direct and indirect and proposals for appropriation of their allocating their net income payment of dividends, retained earnings, etc.</w:t>
      </w:r>
    </w:p>
    <w:p w14:paraId="5B3098DA" w14:textId="77777777" w:rsidR="00E87515" w:rsidRDefault="00000000">
      <w:r>
        <w:t>The Risk Department exercises hierarchical and functional oversight of the Risk management function in charge of Group credit risk giving it a comprehensive view of all the Groups credit risks.</w:t>
      </w:r>
    </w:p>
    <w:p w14:paraId="7264D934" w14:textId="7CE81F88" w:rsidR="00E87515" w:rsidRDefault="00B30342">
      <w:r>
        <w:t>The credit policy forms part of the Groups risk management strategy in accordance with its risk appetite.</w:t>
      </w:r>
    </w:p>
    <w:p w14:paraId="21EDA351" w14:textId="77777777" w:rsidR="00E87515" w:rsidRDefault="00000000">
      <w:r>
        <w:t>The monthly Risk Monitoring Report presented to CORISQ by the Risk Department comments among others on the evolution of the Groups credit portfolio and ensures compliance with the guidelines.</w:t>
      </w:r>
    </w:p>
    <w:p w14:paraId="349F24D5" w14:textId="77777777" w:rsidR="00E87515" w:rsidRDefault="00000000">
      <w:r>
        <w:t>Changes in the credit portfolio, changes in credit policy validated by CORISQ and respect for the Groups risk appetite are presented at least quarterly to the Risk Committee of the Board of Directors.</w:t>
      </w:r>
    </w:p>
    <w:p w14:paraId="5854C104" w14:textId="77777777" w:rsidR="00E87515" w:rsidRDefault="00000000">
      <w:r>
        <w:t>A monthly version of the report intended for the Risk Committee of the Board of Directors also provides additional information at a Business Unit level or on certain financing activities.</w:t>
      </w:r>
    </w:p>
    <w:p w14:paraId="467D94CA" w14:textId="77777777" w:rsidR="00E87515" w:rsidRDefault="00000000">
      <w:r>
        <w:t>Thematic presentations also provide recurring clarifications on certain perimeters and activities, personal real estate loans, consumer credit, non‑retail credit risk, sector limits, country risks, major regulatory risks Grands Risques Réglementaires, environmental indicators of portfolio alignment, etc.</w:t>
      </w:r>
    </w:p>
    <w:p w14:paraId="5AC1D728" w14:textId="77777777" w:rsidR="00E87515" w:rsidRDefault="00000000">
      <w:r>
        <w:t>Their integration is based on the governance and existing framework and follows a classical approach, Identification, Quantification, Definition of the risk appetite, Control and Mitigation of the risk.</w:t>
      </w:r>
    </w:p>
    <w:p w14:paraId="59680833" w14:textId="77777777" w:rsidR="00E87515" w:rsidRDefault="00000000">
      <w:r>
        <w:t>Moreover, the Group has authorisation from the regulator to use the IAA Internal Assessment Approach method to calculate the regulatory capital requirement for ABCP Asset‑Backed Commercial Paper securitisation.</w:t>
      </w:r>
    </w:p>
    <w:p w14:paraId="070F713C" w14:textId="77777777" w:rsidR="00E87515" w:rsidRDefault="00000000">
      <w:r>
        <w:lastRenderedPageBreak/>
        <w:t>The first line of defence is responsible for designing, putting into production, using and monitoring models, in compliance with model risk management governance rules throughout the model lifecycle, which include for credit risk internal models traceability of development and implementation stages and annual backtesting.</w:t>
      </w:r>
    </w:p>
    <w:p w14:paraId="7677C311" w14:textId="77777777" w:rsidR="00E87515" w:rsidRDefault="00000000">
      <w:r>
        <w:t>Independent model review teams rely, for the conduct of their missions, on principles of control of the theoretical robustness assessment of the quality of the design and development of the models, the conformity of the implementation and the use, the continuous follow‑up of model relevance over time.</w:t>
      </w:r>
    </w:p>
    <w:p w14:paraId="6B834CD3" w14:textId="77777777" w:rsidR="00E87515" w:rsidRDefault="00000000">
      <w:r>
        <w:t>The model control system gives rise to recurring reports to the Risk Department within the framework of various bodies and processes Group Model Risk Management Committee, Risk Appetite Statement Risk Appetite Framework, monitoring of recommendations, etc.</w:t>
      </w:r>
    </w:p>
    <w:p w14:paraId="272718D7" w14:textId="77777777" w:rsidR="00E87515" w:rsidRDefault="00000000">
      <w:r>
        <w:t>The CCVI is a function of the ICVI and a company climate questionnaire assessing the climate strategy of individual companies.</w:t>
      </w:r>
    </w:p>
    <w:p w14:paraId="21F0B005" w14:textId="1A138E36" w:rsidR="00E87515" w:rsidRDefault="00E457FF">
      <w:r>
        <w:t>Methodology and policy, changes due to methodological changes in calculations driven by regulatory changes, including both revisions to existing regulations and new regulations.</w:t>
      </w:r>
    </w:p>
    <w:p w14:paraId="299D8756" w14:textId="77777777" w:rsidR="00E87515" w:rsidRDefault="00000000">
      <w:r>
        <w:t>Counterparty credit risk management mainly relies on dedicated first and second lines of defence as described below, The fundamental principles of limit granting policy are, These limits are subject to annual or ad hoc reviews depending on the needs and changes in market conditions.</w:t>
      </w:r>
    </w:p>
    <w:p w14:paraId="1B5DA7B7" w14:textId="12E16FF2" w:rsidR="00E87515" w:rsidRDefault="00E457FF">
      <w:r>
        <w:t xml:space="preserve">The Risk Department has a division dedicated to counterparty credit risk management </w:t>
      </w:r>
      <w:proofErr w:type="gramStart"/>
      <w:r>
        <w:t>in order to</w:t>
      </w:r>
      <w:proofErr w:type="gramEnd"/>
      <w:r>
        <w:t xml:space="preserve"> monitor and analyse the overall risks of counterparties whilst </w:t>
      </w:r>
      <w:proofErr w:type="gramStart"/>
      <w:r>
        <w:t>taking into account</w:t>
      </w:r>
      <w:proofErr w:type="gramEnd"/>
      <w:r>
        <w:t xml:space="preserve"> the specificities of counterparties.</w:t>
      </w:r>
    </w:p>
    <w:p w14:paraId="72F7D72B" w14:textId="76369C3C" w:rsidR="00E87515" w:rsidRDefault="00E457FF">
      <w:r>
        <w:t xml:space="preserve">Controlling compliance with defined limits, at the frequency of metrics calculation, most often </w:t>
      </w:r>
      <w:proofErr w:type="gramStart"/>
      <w:r>
        <w:t>on a daily basis</w:t>
      </w:r>
      <w:proofErr w:type="gramEnd"/>
      <w:r>
        <w:t>, breaches of limits are reported to Front Office and dedicated LoD2 for remediation actions.</w:t>
      </w:r>
    </w:p>
    <w:p w14:paraId="29067599" w14:textId="77777777" w:rsidR="00E87515" w:rsidRDefault="00000000">
      <w:r>
        <w:t>As a member of the clearing houses with which it operates, the Group contributes to their risk management framework through deposits into the default funds, in addition to margin calls.</w:t>
      </w:r>
    </w:p>
    <w:p w14:paraId="77DA347D" w14:textId="77777777" w:rsidR="00E87515" w:rsidRDefault="00000000">
      <w:r>
        <w:t>In accordance with regulatory requirements, the clauses authorising global close‑out netting and collateralisation are analysed by the Banks legal departments to ensure that they are enforceable under the legal provisions applicable to clients.</w:t>
      </w:r>
    </w:p>
    <w:p w14:paraId="091C8B50" w14:textId="77777777" w:rsidR="00E87515" w:rsidRDefault="00000000">
      <w:r>
        <w:t>There are two different cases, Specific wrong‑way risk, in the case of a legal link between the counterparty and the underlying of a transaction concluded with the counterparty, is subject to dedicated regulatory capital requirements, calculated on the perimeter of transactions carrying such risk.</w:t>
      </w:r>
    </w:p>
    <w:p w14:paraId="27191EC2" w14:textId="77777777" w:rsidR="00E87515" w:rsidRDefault="00000000">
      <w:r>
        <w:lastRenderedPageBreak/>
        <w:t>The securitisatin framework has been amended by 2 new regulations published on April 6 , 2021, Guidelines or Regulatory Technical Standards issued by the technical authorities, ESMA and the EBA, clarify some aspects of the level 1 European regulations.</w:t>
      </w:r>
    </w:p>
    <w:p w14:paraId="09BDAFC7" w14:textId="77777777" w:rsidR="00E87515" w:rsidRDefault="00000000">
      <w:r>
        <w:t>The SRT policy is documented in terms of internal governance, control framework as well as ongoing monitoring and reporting.</w:t>
      </w:r>
    </w:p>
    <w:p w14:paraId="4D0D1AB7" w14:textId="77777777" w:rsidR="00E87515" w:rsidRDefault="00000000">
      <w:r>
        <w:t>The relevance of the IAA approach is regularly monitored and reviewed by the Risk Department responsible for Model Risk Management at Group level, as second line of defense.</w:t>
      </w:r>
    </w:p>
    <w:p w14:paraId="0AC6CBE1" w14:textId="77777777" w:rsidR="00E87515" w:rsidRDefault="00000000">
      <w:r>
        <w:t>Governance Market risks oversight is provided by various Committees at different levels of the Group, During these Committees, several metrics for monitoring market risks are reported, In addition to these Committees, detailed and summary market risk reports, produced on a daily, weekly, monthly or quarterly basis, either related to various Group levels or geographic areas, are sent to the relevant business line and risk function managers.</w:t>
      </w:r>
    </w:p>
    <w:p w14:paraId="078831B6" w14:textId="77777777" w:rsidR="00E87515" w:rsidRDefault="00000000">
      <w:r>
        <w:t>Moreover, upon a proposal from the Risk Department, it validates the main choices with regard to market risk measurement, as well as the key developments on the architecture and implementation of the market risk framework at Group level.</w:t>
      </w:r>
    </w:p>
    <w:p w14:paraId="0EE7C4B9" w14:textId="77777777" w:rsidR="00E87515" w:rsidRDefault="00000000">
      <w:r>
        <w:t>These limits ensure that the Group complies with the market risk appetite approved by the Board of Directors.</w:t>
      </w:r>
    </w:p>
    <w:p w14:paraId="6C72AA1F" w14:textId="77777777" w:rsidR="00E87515" w:rsidRDefault="00000000">
      <w:r>
        <w:t>In the event of a breach of the risk framework, and in compliance with the limits follow‑up procedure, the front office must detail the reasons, and take the necessary measures to return within the defined framework, or otherwise request a temporary or permanent increase of limit if the clients request and if market conditions justify such a course of action.</w:t>
      </w:r>
    </w:p>
    <w:p w14:paraId="30B90647" w14:textId="77777777" w:rsidR="000F763D" w:rsidRDefault="00000000">
      <w:r>
        <w:t>The management and good understanding of the market risk to which the Group is exposed are thus ensured on the one hand, through the governance in place between the different sub‑departments within the Risk Department and the business lines, but also on the other hand, through the daily monitoring of consumption of the various limits in place, to which productssolutions distributed to customers contribute as well as various market‑making activities.</w:t>
      </w:r>
    </w:p>
    <w:p w14:paraId="30AF0780" w14:textId="71E4A9C9" w:rsidR="00E87515" w:rsidRDefault="000F763D">
      <w:r>
        <w:t>Methodology and policy, methodology changes to the calculations driven by regulatory policy changes.</w:t>
      </w:r>
    </w:p>
    <w:p w14:paraId="45BF9091" w14:textId="5FBCAFCA" w:rsidR="00E87515" w:rsidRDefault="005C66CB">
      <w:r>
        <w:t xml:space="preserve">Non‑compliance risk including legal and tax risks represents the risk of legal, administrative or regulatory sanctions, material financial loss, or loss to reputation a bank may suffer </w:t>
      </w:r>
      <w:proofErr w:type="gramStart"/>
      <w:r>
        <w:t>as a result of</w:t>
      </w:r>
      <w:proofErr w:type="gramEnd"/>
      <w:r>
        <w:t xml:space="preserve"> its failure to comply with national or European legislation, regulations, rules, related self‑regulatory organisation standards, and Codes of Conduct applicable to its banking activities.</w:t>
      </w:r>
    </w:p>
    <w:p w14:paraId="6119E710" w14:textId="77777777" w:rsidR="00E87515" w:rsidRDefault="00000000">
      <w:r>
        <w:lastRenderedPageBreak/>
        <w:t>The regional hubs report back to the department, providing all information necessary for a consolidated overview of the Banks risk profile that is holistic, prospective and valid for both internal oversight purposes and regulatory reporting.</w:t>
      </w:r>
    </w:p>
    <w:p w14:paraId="39C2293B" w14:textId="77777777" w:rsidR="00E87515" w:rsidRDefault="00000000">
      <w:r>
        <w:t>Their supervision, integrated into the general operational risk management system, is steered as the first line of defence by a dedicated area of expertise Information and Information Systems Security ISS and the second line of defence is provided by the Risk Department.</w:t>
      </w:r>
    </w:p>
    <w:p w14:paraId="68B47CCB" w14:textId="77777777" w:rsidR="00E87515" w:rsidRDefault="00000000">
      <w:r>
        <w:t>They are subject to specific monitoring by the management bodies through sessions dedicated to Group governance Risk Committee, CORISQ, CCCIG, ISCO and a quarterly dashboard which presents the risk situation and action plans on the main information and communication technologies risks.</w:t>
      </w:r>
    </w:p>
    <w:p w14:paraId="6F247912" w14:textId="77777777" w:rsidR="00E87515" w:rsidRDefault="00000000">
      <w:r>
        <w:t>In order to take into account the development of the cyber threat, in a sustainable way on SG Group and in line with the Group strategy, with a budget of EUR 1 billion is allocated over the four coming years, the 2024‑2026 cyber security strategy is structured around five pillars that guide actions out to 2026, At the operational level, the Group relies on a CERT Computer Emergency Response Team unit in charge of incident management, security watch and the fight against cybercrime.</w:t>
      </w:r>
    </w:p>
    <w:p w14:paraId="65459502" w14:textId="77777777" w:rsidR="00E87515" w:rsidRDefault="00000000">
      <w:r>
        <w:t>Risks related to fraud including non‑authorised market activities The supervision of fraud risk, whether internal or external, is integrated into the general operational risk management framework which allows the identification, assessment, mitigation and monitoring of the risk, whether it is potential or actual.</w:t>
      </w:r>
    </w:p>
    <w:p w14:paraId="3972561A" w14:textId="77777777" w:rsidR="00E87515" w:rsidRDefault="00000000">
      <w:r>
        <w:t>The second line defines and verifies compliance with the principles of fraud risk management in conjunction with the first line teams, and ensures that the appropriate governance is in place.</w:t>
      </w:r>
    </w:p>
    <w:p w14:paraId="725DFE41" w14:textId="54DED89A" w:rsidR="00E87515" w:rsidRDefault="00661B61">
      <w:r>
        <w:t>Produce the indicators that feed the IT risks monitoring dashboard, intended for management bodies and Information Systems Directors.</w:t>
      </w:r>
    </w:p>
    <w:p w14:paraId="1AF00983" w14:textId="77777777" w:rsidR="00E87515" w:rsidRDefault="00000000">
      <w:r>
        <w:t>The objectives are as follows, The exercise includes, in particular, risks of non‑compliance, tax risks, accounting risks, risks related to information systems and their security, as well as those related to human resources.</w:t>
      </w:r>
    </w:p>
    <w:p w14:paraId="05A9B0D9" w14:textId="77777777" w:rsidR="00E87515" w:rsidRDefault="00000000">
      <w:r>
        <w:t>In practice, various scenarios are reviewed by experts who gauge the severity and frequency of the potential impacts for the Group by factoring in internal and external loss data as well as the internal framework controls and prevention systems and the external environment regulatory, business, etc.</w:t>
      </w:r>
    </w:p>
    <w:p w14:paraId="59F22888" w14:textId="77777777" w:rsidR="00E87515" w:rsidRDefault="00000000">
      <w:r>
        <w:t xml:space="preserve">The Committee aims to ensure that, before the launch of any product or service, or before any relevant changes to an existing product or service, all types of induced risks among them, credit, market, liquidity and refinancing, country, operational, legal, accounting, tax, </w:t>
      </w:r>
      <w:r>
        <w:lastRenderedPageBreak/>
        <w:t>financial, information systems risks as well as the risks of non‑compliance, reputation, protection of personal data, corporate social and environmental responsibility risks, etc.</w:t>
      </w:r>
    </w:p>
    <w:p w14:paraId="257CC393" w14:textId="50E251D3" w:rsidR="00E87515" w:rsidRDefault="00000000">
      <w:r>
        <w:t xml:space="preserve">Where necessary, risk mapping established by the </w:t>
      </w:r>
      <w:r w:rsidR="00AA648E">
        <w:t>function’s</w:t>
      </w:r>
      <w:r>
        <w:t xml:space="preserve"> </w:t>
      </w:r>
      <w:r w:rsidR="00936BBF">
        <w:t>c</w:t>
      </w:r>
      <w:r>
        <w:t>ompliance, Information Systems Security, etc.</w:t>
      </w:r>
    </w:p>
    <w:p w14:paraId="3E67ADC0" w14:textId="77777777" w:rsidR="00E87515" w:rsidRDefault="00000000">
      <w:r>
        <w:t>Internal fraud committed by an employee or by a third party acting with the aid of an employee and external fraud committed by a third party acting alone, with the intent to obtain illicit personal gain or to harm the Group, are covered.</w:t>
      </w:r>
    </w:p>
    <w:p w14:paraId="2A81864D" w14:textId="5E8B9719" w:rsidR="00E87515" w:rsidRDefault="00000000">
      <w:r>
        <w:t>A cyber risk insurance policy has been taken out amid an environment not specific to the banking sector which is seeing a rapid development of new forms of crime mainly involving breach of data or the compromise, unavailability or destruction of computer systems.</w:t>
      </w:r>
    </w:p>
    <w:p w14:paraId="460A12DC" w14:textId="77777777" w:rsidR="00E87515" w:rsidRDefault="00000000">
      <w:r>
        <w:t>Finally, he chairs the Model Validation Committee and the ALM Standards Validation Committee and thus ensures that the regulatory framework is correctly read and properly adapted to Société Générale environment.</w:t>
      </w:r>
    </w:p>
    <w:p w14:paraId="0B82686D" w14:textId="77777777" w:rsidR="00E87515" w:rsidRDefault="00000000">
      <w:r>
        <w:t>W positions relating to long term employee benefit commitments and their hedging, which are monitored under a dedicated system.</w:t>
      </w:r>
    </w:p>
    <w:p w14:paraId="24ECE3A8" w14:textId="77777777" w:rsidR="00E87515" w:rsidRDefault="00000000">
      <w:r>
        <w:t>Doing so, the liquidity and funding management ensures compliance with risk appetite and regulatory requirements.</w:t>
      </w:r>
    </w:p>
    <w:p w14:paraId="2EE67781" w14:textId="77777777" w:rsidR="00E87515" w:rsidRDefault="00000000">
      <w:r>
        <w:t>Liquidity models are managed along the overall Model Risk Management governance, also applicable to other risk factors market, credit, operational, controlled by the Group Risk division.</w:t>
      </w:r>
    </w:p>
    <w:p w14:paraId="5A8350AD" w14:textId="77777777" w:rsidR="00E87515" w:rsidRDefault="00000000">
      <w:r>
        <w:t>The survival horizon is the moment in time when the net liquidity position under such assumptions becomes negative, LIQUIDITY RISK GOVERNANCE 231 These various operational steps are part of the ILAAP Internal Liquidity Adequacy Assessment Process framework of Societe Generale.</w:t>
      </w:r>
    </w:p>
    <w:p w14:paraId="7ABADB41" w14:textId="77777777" w:rsidR="00E87515" w:rsidRDefault="00000000">
      <w:r>
        <w:t>Finally, it ensures the correct interpretation of the regulatory framework as well as an adequate implementation in the Societe Generale environment.</w:t>
      </w:r>
    </w:p>
    <w:p w14:paraId="6D7A47B8" w14:textId="77777777" w:rsidR="00E87515" w:rsidRDefault="00000000">
      <w:r>
        <w:t>W the Liquidity Coverage Ratio , which aims to ensure that banks hold sufficient liquid assets or cash to survive to a significant stress scenario combining a market crisis and a specific crisis and lasting for one month The minimum regulatory requirement is 100% at all times.</w:t>
      </w:r>
    </w:p>
    <w:p w14:paraId="071E4878" w14:textId="77777777" w:rsidR="00E87515" w:rsidRDefault="00000000">
      <w:r>
        <w:t>These rules aim to ensure a transparent and balanced relationship between the Bank and its stakeholders.</w:t>
      </w:r>
    </w:p>
    <w:p w14:paraId="2FCEE95A" w14:textId="77777777" w:rsidR="00E87515" w:rsidRDefault="00000000">
      <w:r>
        <w:t>Compliance with rules is the responsibility of all Group employees, who must demonstrate compliance and integrity on a daily basis.</w:t>
      </w:r>
    </w:p>
    <w:p w14:paraId="2FDAFFA8" w14:textId="77777777" w:rsidR="00E87515" w:rsidRDefault="00000000">
      <w:r>
        <w:lastRenderedPageBreak/>
        <w:t>In addition to its LoD2 function regarding the aforementioned risks, Compliance oversees the regulatory system for all regulations applicable to credit institutions, including those implemented by other departments, such as prudential regulations.</w:t>
      </w:r>
    </w:p>
    <w:p w14:paraId="1E2A2EEF" w14:textId="77777777" w:rsidR="003A09BB" w:rsidRDefault="00000000">
      <w:r>
        <w:t>Standards and Consolidation teams responsible for defining the normative system and oversight guidelines, consolidating them at Group level, as well as defining the target operational model for each compliance risk.</w:t>
      </w:r>
    </w:p>
    <w:p w14:paraId="1DCFF06E" w14:textId="53573833" w:rsidR="00E87515" w:rsidRDefault="00000000">
      <w:r>
        <w:t xml:space="preserve">Core </w:t>
      </w:r>
      <w:proofErr w:type="spellStart"/>
      <w:r>
        <w:t>BusinessBusiness</w:t>
      </w:r>
      <w:proofErr w:type="spellEnd"/>
      <w:r>
        <w:t xml:space="preserve"> Compliance teams which are aligned across the Groups major business lines Corporate and Investment Bank, French Retail Banking, International Retail Banking, Private Banking and Corporate Divisions, responsible for the relationship with BUSUs, including deal flow, advisory, and risk oversight of BU SUs.</w:t>
      </w:r>
    </w:p>
    <w:p w14:paraId="4D47686D" w14:textId="3188543B" w:rsidR="00E87515" w:rsidRDefault="003A09BB">
      <w:r>
        <w:t xml:space="preserve">Regulatory risks, which </w:t>
      </w:r>
      <w:proofErr w:type="gramStart"/>
      <w:r>
        <w:t>cover in particular, client</w:t>
      </w:r>
      <w:proofErr w:type="gramEnd"/>
      <w:r>
        <w:t xml:space="preserve"> protection, anti‑bribery and corruption, ethics and conduct, compliance with tax transparency regulations based on knowledge of the customers tax profile, compliance with corporate social responsibility regulations and Group commitments, market integrity, compliance with prudential regulations in collaboration with the Risk Department, joint coordination with HRCO of the Groups Culture &amp; Conduct issues </w:t>
      </w:r>
      <w:proofErr w:type="gramStart"/>
      <w:r>
        <w:t>conduct in particular</w:t>
      </w:r>
      <w:proofErr w:type="gramEnd"/>
      <w:r>
        <w:t>.</w:t>
      </w:r>
    </w:p>
    <w:p w14:paraId="477E0DD7" w14:textId="77777777" w:rsidR="00E87515" w:rsidRDefault="00000000">
      <w:r>
        <w:t>In particular, these initiatives involve the optimisation of transaction surveillance scenarios and the development of more sophisticated tools to detect suspicious or unusual transactions, based on technology like big data and machine learning.</w:t>
      </w:r>
    </w:p>
    <w:p w14:paraId="49E5CEB1" w14:textId="77777777" w:rsidR="00E87515" w:rsidRDefault="00000000">
      <w:r>
        <w:t>Accordingly, the Societe Generale Group continues to closely supervise transactions involving Russia to ensure compliance with international sanctions.</w:t>
      </w:r>
    </w:p>
    <w:p w14:paraId="1037311F" w14:textId="68D15ADE" w:rsidR="00E87515" w:rsidRDefault="00000000">
      <w:r>
        <w:t>Customer protection is a major challenge for the Societe Generale Group, which is committed to respecting and protecting the interests of its customers.</w:t>
      </w:r>
    </w:p>
    <w:p w14:paraId="30643D6B" w14:textId="77777777" w:rsidR="00E87515" w:rsidRDefault="00000000">
      <w:r>
        <w:t>The Group continues to implement significant measures to improve its system in terms of, Customer claims Processing a claim is a commercial act that impacts customer satisfaction.</w:t>
      </w:r>
    </w:p>
    <w:p w14:paraId="1094EC78" w14:textId="77777777" w:rsidR="00E87515" w:rsidRDefault="00000000">
      <w:r>
        <w:t>Updated in 2023, the Customer claim processing Group instruction incorporates the recommendations of the national supervisor French Prudential Supervisory and Resolution Authority ACPR and the regulatory requirements MIF2, DDA and DSP the Payment Services Directive relative to the strengthening of customer protection measures at European level.</w:t>
      </w:r>
    </w:p>
    <w:p w14:paraId="3C406CB8" w14:textId="77777777" w:rsidR="00E87515" w:rsidRDefault="00000000">
      <w:r>
        <w:t>SGs investment services policy includes new offers in terms of sustainable finance, the supervision of crypto‑assets, and detailed notes on the target markets of the main instruments produced or distributed by each business.</w:t>
      </w:r>
    </w:p>
    <w:p w14:paraId="0E97A05E" w14:textId="77777777" w:rsidR="00E87515" w:rsidRDefault="00000000">
      <w:r>
        <w:t>The rules of conduct, the organisational principles and the oversight and control measures are in place and regularly assessed.</w:t>
      </w:r>
    </w:p>
    <w:p w14:paraId="69F00199" w14:textId="77777777" w:rsidR="00E87515" w:rsidRDefault="00000000">
      <w:r>
        <w:t>The five main principles of the Code of Conduct are as follows, The tax strategy and its guiding principles are approved by the Board of Directors.</w:t>
      </w:r>
    </w:p>
    <w:p w14:paraId="377A476A" w14:textId="77777777" w:rsidR="00E87515" w:rsidRDefault="00000000">
      <w:r>
        <w:lastRenderedPageBreak/>
        <w:t>Measures for monitoring compliance with the tax strategy and risks are presented to the Board of Directors or a delegate Committee at least once a year.</w:t>
      </w:r>
    </w:p>
    <w:p w14:paraId="69127882" w14:textId="22D2F288" w:rsidR="00E87515" w:rsidRDefault="00582B54">
      <w:r>
        <w:t>Updating the compliance management system for derivatives, which are subject to ever‑changing regulations that go hand‑in‑hand with business and technology developments.</w:t>
      </w:r>
    </w:p>
    <w:p w14:paraId="04A60C9D" w14:textId="3E1E5D41" w:rsidR="00E87515" w:rsidRDefault="00582B54">
      <w:r>
        <w:t>Addressing the escalation in and ongoing changes to regulatory requirements regarding transaction reporting, along with the need to improve data quality.</w:t>
      </w:r>
    </w:p>
    <w:p w14:paraId="713EA066" w14:textId="5DC4B043" w:rsidR="00E87515" w:rsidRDefault="00000000">
      <w:r>
        <w:t>Societe Generale ensures compliance with the applicable tax rules in all countries where the Group operates, in accordance with international conventions and national laws.</w:t>
      </w:r>
    </w:p>
    <w:p w14:paraId="0A9C6032" w14:textId="77777777" w:rsidR="00E87515" w:rsidRDefault="00000000">
      <w:r>
        <w:t>Last, the Group is studying the new tax transparency standards on digital assets ahead of their upcoming implementation, in particular the CARF Crypto‑Asset Reporting Framework, changes to the CRS standard, and the new European Directive in this regard, known as DAC8 Directive on Administrative Cooperation 8.</w:t>
      </w:r>
    </w:p>
    <w:p w14:paraId="2C230A4C" w14:textId="77777777" w:rsidR="00E87515" w:rsidRDefault="00000000">
      <w:r>
        <w:t>It promotes a culture of compliance with zero tolerance for corruption.</w:t>
      </w:r>
    </w:p>
    <w:p w14:paraId="574EDEEC" w14:textId="77777777" w:rsidR="00E87515" w:rsidRDefault="00000000">
      <w:r>
        <w:t>The body of standards governing the fight against corruption is reviewed annually and covers, The anti‑corruption system implemented is a solid solution that includes, The Societe Generale Group also has several tools at its disposal, such as the tool for declaring gifts and invitations , the tool for whistleblowing management WhistleB, the annual conflict of interest declaration tool , and the tool for selecting risky manual accounting entries .</w:t>
      </w:r>
    </w:p>
    <w:p w14:paraId="07CAF15C" w14:textId="77777777" w:rsidR="00E87515" w:rsidRDefault="00000000">
      <w:r>
        <w:t>A governance and normative framework have been defined for the data protection system which applies to entities within the scope of the GDPR.</w:t>
      </w:r>
    </w:p>
    <w:p w14:paraId="0F99FFEF" w14:textId="5E588406" w:rsidR="00E87515" w:rsidRDefault="00582B54">
      <w:r>
        <w:t>Human resources recruitment, mobility, professional assessment, remuneration, disciplinary framework.</w:t>
      </w:r>
    </w:p>
    <w:p w14:paraId="21FC3F6E" w14:textId="7551C9BB" w:rsidR="00E87515" w:rsidRDefault="00582B54">
      <w:r>
        <w:t>Preventative measures, corruption risk mapping, policies and procedures, regular training at all levels senior management, most exposed persons, all employees, awareness‑raising and communication to governance bodies.</w:t>
      </w:r>
    </w:p>
    <w:p w14:paraId="651A1D00" w14:textId="512F4553" w:rsidR="00E87515" w:rsidRDefault="00582B54">
      <w:r>
        <w:t>Deploy e‑learning on environmental and social risk management.</w:t>
      </w:r>
    </w:p>
    <w:p w14:paraId="35D77220" w14:textId="52BC9A27" w:rsidR="00E87515" w:rsidRDefault="00582B54">
      <w:r>
        <w:t>Define an environmental and social escalation procedure with respect to corporate customers to set out the criteria requiring business lines to reach out to the Compliance Division and, where applicable, the Arbitration Committee chaired by General Management, to onboard a company in situations likely to present a reputation risk arising from environmental or social factors.</w:t>
      </w:r>
    </w:p>
    <w:p w14:paraId="25420966" w14:textId="77777777" w:rsidR="00E87515" w:rsidRDefault="00000000">
      <w:r>
        <w:t>In general, Societe Generale analyses the compliance of its personal data processing and takes risk mitigating measures aligned with their sensitivity.</w:t>
      </w:r>
    </w:p>
    <w:p w14:paraId="716F4460" w14:textId="77777777" w:rsidR="00E87515" w:rsidRDefault="00000000">
      <w:r>
        <w:lastRenderedPageBreak/>
        <w:t>When Societe Generale communicates personal data to its partners, it applies the necessary governance to meet regulatory requirements and its customers legitimate expectations with contractual obligations requiring said partners to implement the necessary personal data protection measures.</w:t>
      </w:r>
    </w:p>
    <w:p w14:paraId="549F0B2A" w14:textId="77777777" w:rsidR="00E87515" w:rsidRDefault="00000000">
      <w:r>
        <w:t>Information systems for people such as customers, employees including external ones, shareholders, supplier employees, in compliance with the RGPD, are made available and cover the type of data collected, the data collected, the purpose of the data processing, the categories of recipients of the data, the existence of data transfer where applicable, the data retention period and the rights of the persons concerned, as well as how those rights can be exercised.</w:t>
      </w:r>
    </w:p>
    <w:p w14:paraId="747C207F" w14:textId="77777777" w:rsidR="00E87515" w:rsidRDefault="00000000">
      <w:r>
        <w:t>Moreover, the Group has made dedicated efforts to increase staff awareness via specialised training.</w:t>
      </w:r>
    </w:p>
    <w:p w14:paraId="58F7AAF6" w14:textId="77777777" w:rsidR="00E87515" w:rsidRDefault="00000000">
      <w:r>
        <w:t>The DPO is also responsible for ensuring sound Group compliance for personal data protection.</w:t>
      </w:r>
    </w:p>
    <w:p w14:paraId="30667EC1" w14:textId="77777777" w:rsidR="00E87515" w:rsidRDefault="00000000">
      <w:r>
        <w:t>The information gathered from the permanent controls, compliance controls and periodic controls control framework based on the three lines of defence are also monitored by the appropriate Compliance Committees.</w:t>
      </w:r>
    </w:p>
    <w:p w14:paraId="67196E5B" w14:textId="77777777" w:rsidR="00E87515" w:rsidRDefault="00000000">
      <w:r>
        <w:t>DRM governance is covered by a specific Group‑wide policy published in the SG Code.</w:t>
      </w:r>
    </w:p>
    <w:p w14:paraId="55AB7465" w14:textId="18215D91" w:rsidR="00E87515" w:rsidRDefault="00C21D3A">
      <w:r>
        <w:t>Develops a reputation risk dashboard that is communicated quarterly to the Risk Committee of the Board of Directors, based on information from the businessesBusiness Units and support functionsService Units in particular the Human Resources, Communications, Legal, Corporate Social Responsibility, etc.</w:t>
      </w:r>
    </w:p>
    <w:p w14:paraId="2D9D30A4" w14:textId="01E0051E" w:rsidR="00E87515" w:rsidRDefault="003022DA">
      <w:r>
        <w:t xml:space="preserve">Is a permanent member of the Complex Transactions and Reputation Risk </w:t>
      </w:r>
      <w:proofErr w:type="gramStart"/>
      <w:r>
        <w:t>Committee ,</w:t>
      </w:r>
      <w:proofErr w:type="gramEnd"/>
      <w:r>
        <w:t xml:space="preserve"> tasked with reviewing and approving the legal, regulatory, tax, compliance andor reputation risk that may arise from the involvement of a Group entity or Group employees in a complex transaction or from a product, transaction, service or activity with a customer or counterparty.</w:t>
      </w:r>
    </w:p>
    <w:p w14:paraId="025FD747" w14:textId="77777777" w:rsidR="00E87515" w:rsidRDefault="00000000">
      <w:r>
        <w:t>This oversight relies on the Corporate Compliance Framework, which aims to ensure the Groups compliance with all regulations, including those implemented by other departments, namely control functions or independent expert functions.</w:t>
      </w:r>
    </w:p>
    <w:p w14:paraId="31D26E26" w14:textId="77777777" w:rsidR="00E87515" w:rsidRDefault="00000000">
      <w:r>
        <w:t>To this end, a document setting out the Compliance functions roles and responsibilities with respect to implementing its remit is formalised and approved by the stakeholders.</w:t>
      </w:r>
    </w:p>
    <w:p w14:paraId="70D879DA" w14:textId="77777777" w:rsidR="00E87515" w:rsidRDefault="00000000">
      <w:r>
        <w:t>In this regard, the Group concentrated on three priority themes in 2023, prudential compliance, competition law compliance, and remuneration.</w:t>
      </w:r>
    </w:p>
    <w:p w14:paraId="3BC78D11" w14:textId="1FB91CF5" w:rsidR="00E87515" w:rsidRDefault="00000000">
      <w:r>
        <w:t>The procedure for reporting incidents is governed by an ad hoc governance, together with Compliance Incident Committees</w:t>
      </w:r>
      <w:r w:rsidR="001D2007">
        <w:t>.</w:t>
      </w:r>
    </w:p>
    <w:p w14:paraId="717B9C2A" w14:textId="77777777" w:rsidR="00E87515" w:rsidRDefault="00000000">
      <w:r>
        <w:lastRenderedPageBreak/>
        <w:t>Against this background, the Bank defined and rolled out a programme to implement all these commitments and strengthen its compliance system in the relevant areas.</w:t>
      </w:r>
    </w:p>
    <w:p w14:paraId="2E22F30A" w14:textId="77777777" w:rsidR="00E87515" w:rsidRDefault="00000000">
      <w:r>
        <w:t>In this respect, the Bank continues to be regularly reviewed by an independent consultant responsible for assessing the strength of its compliance programme in terms of sanctions and embargoes.</w:t>
      </w:r>
    </w:p>
    <w:p w14:paraId="0DD2A32C" w14:textId="77777777" w:rsidR="00E87515" w:rsidRDefault="00000000">
      <w:r>
        <w:t>By way of background, on 14 December 2017, Societe Generale and SGNY on the one hand, and the Board of Governors of the Federal Reserve on the other hand, agreed to a Cease‑and‑Desist order the Order regarding the SGNY compliance programme to adhere to the Bank Secrecy Act BSA and its anti‑money laundering AML obligations the Anti‑Money Laundering Compliance Program, and regarding some aspects of its know your client programme.</w:t>
      </w:r>
    </w:p>
    <w:p w14:paraId="49DBC4F1" w14:textId="4C648D55" w:rsidR="00E87515" w:rsidRDefault="00000000">
      <w:r>
        <w:t>On 17 December 2019, Societe Generale SA and SGNY signed an agreement with the Federal Reserve Bank of New York regarding its compliance risk management</w:t>
      </w:r>
      <w:r w:rsidR="00943325">
        <w:t xml:space="preserve"> </w:t>
      </w:r>
      <w:r>
        <w:t>to the supervisory arm of the Risk Committee of the Board of Directors in a Group Compliance dashboard.</w:t>
      </w:r>
    </w:p>
    <w:p w14:paraId="0F1F2D44" w14:textId="77777777" w:rsidR="00E87515" w:rsidRDefault="00000000">
      <w:r>
        <w:t>The Groups risk management framework is continuously reviewed and updated to take these new challenges into account.</w:t>
      </w:r>
    </w:p>
    <w:p w14:paraId="3A1849C4" w14:textId="77777777" w:rsidR="00E87515" w:rsidRDefault="00000000">
      <w:r>
        <w:t>They include factors such as climate change, biodiversity, energy consumption and waste management.</w:t>
      </w:r>
    </w:p>
    <w:p w14:paraId="50D2C9A8" w14:textId="77777777" w:rsidR="00E87515" w:rsidRDefault="00000000">
      <w:r>
        <w:t>Environmental risks could have an adverse financial impact through a range of risk drivers, classed as follows, W physical risk, which refers to the current or potential financial impact of physical environmental factors on the Group, its counterparties or its invested assets, transition risk, which refers to current or potential impact of the transition to a more environmentally sustainable economic model on the Group, its financial position, counterparties or invested assets.</w:t>
      </w:r>
    </w:p>
    <w:p w14:paraId="418F099F" w14:textId="77777777" w:rsidR="00E87515" w:rsidRDefault="00000000">
      <w:r>
        <w:t>Governance factors are those related to governance practices executive leadership, executive pay, audits, internal control, fiscal policy, Board of Director independence, shareholder rights, integrity, etc.</w:t>
      </w:r>
    </w:p>
    <w:p w14:paraId="2770FF91" w14:textId="21663768" w:rsidR="00E87515" w:rsidRDefault="00D409CF">
      <w:r>
        <w:t>Environmental and social materiality, which could stem from the impact of the Groups economic and financial activities on the environment and on human rights.</w:t>
      </w:r>
    </w:p>
    <w:p w14:paraId="3509193F" w14:textId="4DAC270C" w:rsidR="00E87515" w:rsidRDefault="00D409CF">
      <w:r>
        <w:t>Non‑compliance with regulations or health and safety standards see Chapter 5, Being a responsible employer Risk related to working conditions of URD.</w:t>
      </w:r>
    </w:p>
    <w:p w14:paraId="391A48E0" w14:textId="77777777" w:rsidR="00E87515" w:rsidRDefault="00000000">
      <w:r>
        <w:t>Group Compliance is the 2 line of defence in charge of the risks of non‑compliance with the Groups voluntary commitments and reputation risk factors this is the risk that arises from a negative perception that could adversely impact the Groups ability to maintain or engage in business relationships and to sustain access to sources of financing.</w:t>
      </w:r>
    </w:p>
    <w:p w14:paraId="406A7BB0" w14:textId="77777777" w:rsidR="00E87515" w:rsidRDefault="00000000">
      <w:r>
        <w:lastRenderedPageBreak/>
        <w:t>To do this, it ensures compliance with sustainable investment regulations and the Groups voluntary commitments in relation to environmental and social issues connected with Sourcing and Activities sector policies, as mentioned in the Group‑wide Risk Taxonomy.</w:t>
      </w:r>
    </w:p>
    <w:p w14:paraId="5017DF43" w14:textId="77777777" w:rsidR="00E87515" w:rsidRDefault="00000000">
      <w:r>
        <w:t>More specifically, it is responsible for regulatory intelligence on accounting in banks, it identifies potential changes in the accounting function to incorporate ESG such as accounting for the Banks carbon footprint and build the ESG dimension into its other processes, Societe Generale Groups budget and financial trajectory.</w:t>
      </w:r>
    </w:p>
    <w:p w14:paraId="3EDCDC64" w14:textId="77777777" w:rsidR="00E87515" w:rsidRDefault="00000000">
      <w:r>
        <w:t>The department in charge of the permanent control framework and coordinating internal control is tasked with updating the APRC Activities, Processes, Risks and Controls reference framework as needed to take account of ESG risk factors.</w:t>
      </w:r>
    </w:p>
    <w:p w14:paraId="39FFB402" w14:textId="77777777" w:rsidR="00E87515" w:rsidRDefault="00000000">
      <w:r>
        <w:t>In addition to helping to define strategy, the non‑voting Director assists all the Boards Committees when they discuss CSR‑related issues.</w:t>
      </w:r>
    </w:p>
    <w:p w14:paraId="21A975BD" w14:textId="57782FAE" w:rsidR="00E87515" w:rsidRDefault="00B62FD1">
      <w:r>
        <w:t>Proposing a model for measuring the environmental and social impact of the Groups activities, strategic objectives and strategic adaptation plans to General Management.</w:t>
      </w:r>
    </w:p>
    <w:p w14:paraId="7D16924C" w14:textId="77777777" w:rsidR="00E87515" w:rsidRDefault="00000000">
      <w:r>
        <w:t>The sector policies, referred to as E&amp;S policies, define the standards that the Group intends to implement in potentially sensitive sectors from an E&amp;S or ethics perspective, based on its mapping of actual or potential E&amp;S risks.</w:t>
      </w:r>
    </w:p>
    <w:p w14:paraId="65F7681D" w14:textId="77777777" w:rsidR="00E87515" w:rsidRDefault="00000000">
      <w:r>
        <w:t>The E&amp;S General Principles and policies are updated in line with regulatory, scientific or societal developments, observed best practices and the Groups strategy.</w:t>
      </w:r>
    </w:p>
    <w:p w14:paraId="5F622023" w14:textId="77777777" w:rsidR="00E87515" w:rsidRDefault="00000000">
      <w:r>
        <w:t>Group Risk Committee, W the CORISQ regularly reviews of extra‑financial risks, such as IT systems failure including cyber crime risk, and unethical business practices, including corruption, tax evasion and money laundering.</w:t>
      </w:r>
    </w:p>
    <w:p w14:paraId="5277C55E" w14:textId="77777777" w:rsidR="00E87515" w:rsidRDefault="00000000">
      <w:r>
        <w:t>Regular reporting to the Boards Risk Committee is in place for all such matters.</w:t>
      </w:r>
    </w:p>
    <w:p w14:paraId="57DB7B24" w14:textId="77777777" w:rsidR="00E87515" w:rsidRDefault="00000000">
      <w:r>
        <w:t>The Group has also adopted a new tobacco sector policy, Operational implementation procedures Actual or potential ESG risk management procedures have been in place within the Group for several years for the day‑to‑day conduct of business.</w:t>
      </w:r>
    </w:p>
    <w:p w14:paraId="1A1005AC" w14:textId="77777777" w:rsidR="00E87515" w:rsidRDefault="00000000">
      <w:r>
        <w:t>W E&amp;S exclusion criteria are designed to exclude from the Groups activities certain types of corporate client, issuer, dedicated transactions, banking or financial products or services associated with underlying practices or activities with the potential to cause damage to the environment andor violate human rights, and where improvement within a reasonable timeframe is not possible.</w:t>
      </w:r>
    </w:p>
    <w:p w14:paraId="73B6590B" w14:textId="77777777" w:rsidR="00E87515" w:rsidRDefault="00000000">
      <w:r>
        <w:t>When providing dedicated advisory services ahead of project development, the Group must assess the clients commitment to developing a project that will satisfy these criteria.</w:t>
      </w:r>
    </w:p>
    <w:p w14:paraId="3582F8BA" w14:textId="77777777" w:rsidR="00E87515" w:rsidRDefault="00000000">
      <w:r>
        <w:lastRenderedPageBreak/>
        <w:t>In addition to these checks, governance due diligence is conducted as part of KYC Know your customer procedures and measures to counter corruption, financing of terrorism, tax evasion and money laundering.</w:t>
      </w:r>
    </w:p>
    <w:p w14:paraId="7C8CC977" w14:textId="77777777" w:rsidR="00E87515" w:rsidRDefault="00000000">
      <w:r>
        <w:t>E&amp;S assessment of counterparties or transactions identified as presenting actual or potential E&amp;S risks, when actual or potential E&amp;S risks are identified, the business line assesses compliance with the criteria from the applicable E&amp;S policy and the Groups other ESG commitments, and weighs up the severity of any E&amp;S controversies.</w:t>
      </w:r>
    </w:p>
    <w:p w14:paraId="4019C886" w14:textId="77777777" w:rsidR="00E87515" w:rsidRDefault="00000000">
      <w:r>
        <w:t>To ensure a smooth and systematic roll‑out of this framework for managing actual or potential E&amp;S risks across the Group, a new compulsory online training module was rolled out in 2021 for all BUs and SUs covered by the framework.</w:t>
      </w:r>
    </w:p>
    <w:p w14:paraId="382EA4E8" w14:textId="2D943B88" w:rsidR="00E87515" w:rsidRDefault="00B9011E">
      <w:r>
        <w:t>Arrange employee training on ESG procedures to implement the ESG risk factor management system described in the Groups normative documentation.</w:t>
      </w:r>
    </w:p>
    <w:p w14:paraId="70792528" w14:textId="6AEB195F" w:rsidR="00E87515" w:rsidRDefault="00B9011E">
      <w:r>
        <w:t>Monitor, steer and report regularly on the key indicators for implementing the ESG risk management system defined by the Risk W and Compliance Division and the Sustainable Development Department.</w:t>
      </w:r>
    </w:p>
    <w:p w14:paraId="7293574E" w14:textId="77777777" w:rsidR="00E87515" w:rsidRDefault="00000000">
      <w:r>
        <w:t>Retail Bankings CSR team tracks progress towards achieving CSR goals and produces metrics, including for ESG risk management.</w:t>
      </w:r>
    </w:p>
    <w:p w14:paraId="19893B35" w14:textId="77777777" w:rsidR="00E87515" w:rsidRDefault="00000000">
      <w:r>
        <w:t>In 2023, in accordance with the European Sustainable Finance Disclosure Regulation , Societe Generale Private Banking updated its policies for managing Sustainability risk.</w:t>
      </w:r>
    </w:p>
    <w:p w14:paraId="40B11B13" w14:textId="77777777" w:rsidR="00E87515" w:rsidRDefault="00000000">
      <w:r>
        <w:t>In Insurance activities, risk factors are managed through the risk management and internal control systems.</w:t>
      </w:r>
    </w:p>
    <w:p w14:paraId="656871EE" w14:textId="0B2DA843" w:rsidR="00E87515" w:rsidRDefault="00361C3E">
      <w:r>
        <w:t>Prevent malfunctions, ensure the suitability and effectiveness of internal processes, and guarantee the reliability, integrity and availability of financial, prudential and management information.</w:t>
      </w:r>
    </w:p>
    <w:p w14:paraId="72E7A2FB" w14:textId="77777777" w:rsidR="00E87515" w:rsidRDefault="00000000">
      <w:r>
        <w:t>It shares what signatory banks have already achieved, demonstrating the positive impact derived from their implementation of the six principles, and has identified four focus areas, addressing climate change, nature‑related issues, economic inclusion and human rights.</w:t>
      </w:r>
    </w:p>
    <w:p w14:paraId="3B646A20" w14:textId="3A7A0FB7" w:rsidR="00E87515" w:rsidRDefault="00361C3E">
      <w:r>
        <w:t xml:space="preserve">Developing a responsible banking culture and </w:t>
      </w:r>
      <w:proofErr w:type="gramStart"/>
      <w:r>
        <w:t>governance, and</w:t>
      </w:r>
      <w:proofErr w:type="gramEnd"/>
      <w:r>
        <w:t xml:space="preserve"> making targeted public commitments.</w:t>
      </w:r>
    </w:p>
    <w:p w14:paraId="16481988" w14:textId="77777777" w:rsidR="00E87515" w:rsidRDefault="00000000">
      <w:r>
        <w:t>In 2020, it set its first transition targets in respect of oil and gas based on exposure and then energy generation based on carbon intensity.</w:t>
      </w:r>
    </w:p>
    <w:p w14:paraId="670829F4" w14:textId="77777777" w:rsidR="00E87515" w:rsidRDefault="00000000">
      <w:r>
        <w:t>Additional targets for the oil and gas sector Societe Generale is going well beyond what is required of it in the context of the NZBA, with ambitious targets for the oil and gas sector in terms of reducing financing and absolute emissions intensity, aligning its portfolios and activities with pathways consistent with a maximum temperature rise of 1.</w:t>
      </w:r>
    </w:p>
    <w:p w14:paraId="3F3E74A5" w14:textId="3C2D183B" w:rsidR="00E87515" w:rsidRDefault="002E2BAC">
      <w:r>
        <w:lastRenderedPageBreak/>
        <w:t>Focusing as a priority on its most emissions‑intensive sectors that will have a major impact in transitioning towards a low‑carbon economy.</w:t>
      </w:r>
    </w:p>
    <w:p w14:paraId="5A0DB335" w14:textId="7051B5C9" w:rsidR="00E87515" w:rsidRDefault="005E1D24">
      <w:r>
        <w:t>Basing its alignment targets on credible climate scenarios published by recognized bodies.</w:t>
      </w:r>
    </w:p>
    <w:p w14:paraId="5AA0ED37" w14:textId="77777777" w:rsidR="00E87515" w:rsidRDefault="00000000">
      <w:r>
        <w:t>Designed to support the practical achievement of net‑zero emissions in the steel industry, the SSP also provide the tools necessary for client and stakeholder engagement.</w:t>
      </w:r>
    </w:p>
    <w:p w14:paraId="6AB94593" w14:textId="77777777" w:rsidR="00E87515" w:rsidRDefault="00000000">
      <w:r>
        <w:t>Launched in December 2023 at the COP28, the SAFF is the first climate‑aligned finance framework for the aluminium sector, designed to help banks align financing decisions with their own decarbonisation targets.</w:t>
      </w:r>
    </w:p>
    <w:p w14:paraId="60AEF623" w14:textId="77777777" w:rsidR="00E87515" w:rsidRDefault="00000000">
      <w:r>
        <w:t>Financial institutions that adopt the SAFF can use it to assess the emissions of their aluminium loan portfolios and work with their clients to report their emissions, fund lower‑carbon solutions and support investments in new technologies.</w:t>
      </w:r>
    </w:p>
    <w:p w14:paraId="33257F79" w14:textId="77777777" w:rsidR="00E87515" w:rsidRDefault="00000000">
      <w:r>
        <w:t>This will create a level playing field for aviation industry lenders to assess their degree of alignment with climate goals and set appropriate targets.</w:t>
      </w:r>
    </w:p>
    <w:p w14:paraId="409807DE" w14:textId="77777777" w:rsidR="00E87515" w:rsidRDefault="00000000">
      <w:r>
        <w:t>Financial institutions will be able to further work with their clients to support their transition journeys by funding lower‑carbon solutions and supporting investments in new technologies.</w:t>
      </w:r>
    </w:p>
    <w:p w14:paraId="2372B15B" w14:textId="77777777" w:rsidR="00E87515" w:rsidRDefault="00000000">
      <w:r>
        <w:t>The Poseidon Principles aim to promote the decarbonisation of the global shipping industry by integrating climate decision‑making into portfolio management and lending decisions in respect of ship financing.</w:t>
      </w:r>
    </w:p>
    <w:p w14:paraId="020AC482" w14:textId="77777777" w:rsidR="00E87515" w:rsidRDefault="00000000">
      <w:r>
        <w:t>Societe Generale has also joined the Getting to Zero coalition, which aims to develop and deploy commercially viable deep‑sea zero‑emission vessels by 2030.</w:t>
      </w:r>
    </w:p>
    <w:p w14:paraId="72215789" w14:textId="77777777" w:rsidR="00E87515" w:rsidRDefault="00000000">
      <w:r>
        <w:t>Recognising the need for both immediate action and a proactive long‑term vision, the Group confirms its climate goals, as presented at the Shareholders General Meeting on 23 May 2023.</w:t>
      </w:r>
    </w:p>
    <w:p w14:paraId="04281857" w14:textId="77777777" w:rsidR="00E87515" w:rsidRDefault="00000000">
      <w:r>
        <w:t>It aims to define indicators and identify scenarios to manage the Groups activities in keeping with its commitments to fight climate change.</w:t>
      </w:r>
    </w:p>
    <w:p w14:paraId="113A6580" w14:textId="77777777" w:rsidR="00E87515" w:rsidRDefault="00000000">
      <w:r>
        <w:t>For more information on these indicators and targets, see the latest Climate and Alignment Report https, Climate‑and‑Alignment‑Report.</w:t>
      </w:r>
    </w:p>
    <w:p w14:paraId="08549334" w14:textId="77777777" w:rsidR="00E87515" w:rsidRDefault="00000000">
      <w:r>
        <w:t>Societe Generale measures both its alignment and its financed carbon emissions to manage the impact of its activities on the climate.</w:t>
      </w:r>
    </w:p>
    <w:p w14:paraId="2F9FF21B" w14:textId="77777777" w:rsidR="00E87515" w:rsidRDefault="00000000">
      <w:r>
        <w:t>To define alignment measures, the Group develops metrics expressed as outstanding loans, as carbon intensity or as absolute financed carbon emissions.</w:t>
      </w:r>
    </w:p>
    <w:p w14:paraId="2617C2D6" w14:textId="77777777" w:rsidR="00E87515" w:rsidRDefault="00000000">
      <w:r>
        <w:t>To implement its climate commitment, the Group began by developing an initial methodology and setting alignment targets for the coal sector see below.</w:t>
      </w:r>
    </w:p>
    <w:p w14:paraId="789A5B17" w14:textId="77777777" w:rsidR="00E87515" w:rsidRDefault="00000000">
      <w:r>
        <w:lastRenderedPageBreak/>
        <w:t>However, as clients are increasingly adopting a framework for climate reporting and disclosure, the Group expects external data on emissions to become more accessible and reliable over time.</w:t>
      </w:r>
    </w:p>
    <w:p w14:paraId="54A568E8" w14:textId="77777777" w:rsidR="00E87515" w:rsidRDefault="00000000">
      <w:r>
        <w:t>In a quest for a more consistent and market‑accepted method for measuring and reporting on emissions, regulatory requirements and guidelines have been updated in recent years.</w:t>
      </w:r>
    </w:p>
    <w:p w14:paraId="68B6672B" w14:textId="77777777" w:rsidR="00E87515" w:rsidRDefault="00000000">
      <w:r>
        <w:t>To achieve this, the Group has adjusted the energy mix it finances, reflecting both its decision to progressively withdraw from coal and its support for renewable energy projects, including new developments such as offshore wind farms, floating solar panels, etc.</w:t>
      </w:r>
    </w:p>
    <w:p w14:paraId="38A0C320" w14:textId="795ADB7B" w:rsidR="00E87515" w:rsidRDefault="00BA594D">
      <w:r>
        <w:t xml:space="preserve">From 1 January 2024, it will no longer offer financial products and services dedicated or non‑dedicated to any private companies that generate virtually </w:t>
      </w:r>
      <w:proofErr w:type="gramStart"/>
      <w:r>
        <w:t>all of</w:t>
      </w:r>
      <w:proofErr w:type="gramEnd"/>
      <w:r>
        <w:t xml:space="preserve"> their revenue from upstream oil and gas activities, namely exploration, development and production, gradually phasing out its existing exposures.</w:t>
      </w:r>
    </w:p>
    <w:p w14:paraId="0A6A68B0" w14:textId="17379845" w:rsidR="00E87515" w:rsidRDefault="00BA594D">
      <w:r>
        <w:t>It will take a heightened proactive approach to reviewing the strategies of oil and gas sector companies with a view to their impact on climate change.</w:t>
      </w:r>
    </w:p>
    <w:p w14:paraId="2F3ED50C" w14:textId="77777777" w:rsidR="00E87515" w:rsidRDefault="00000000">
      <w:r>
        <w:t>For more information on these indicators and targets, see the latest Climate and Alignment Report defaultfilesdocumentsCSRClimate‑and‑Alignment‑Report.</w:t>
      </w:r>
    </w:p>
    <w:p w14:paraId="187FEE2D" w14:textId="77777777" w:rsidR="00E87515" w:rsidRDefault="00000000">
      <w:r>
        <w:t>Defined by the China Green Finance Committee and the City of Londons Green Finance Initiative, the GIP comprise seven principles for green investment, covering matters such as strategy, operations and innovation.</w:t>
      </w:r>
    </w:p>
    <w:p w14:paraId="7EE0EC64" w14:textId="77777777" w:rsidR="00E87515" w:rsidRDefault="00000000">
      <w:r>
        <w:t>They aim to guide financial institutions in adopting responsible practices in environmental and social E&amp;S risk management and positive‑impact financial products in the countries targeted by the Belt and Road initiative.</w:t>
      </w:r>
    </w:p>
    <w:p w14:paraId="15D9B370" w14:textId="77777777" w:rsidR="00E87515" w:rsidRDefault="00000000">
      <w:r>
        <w:t>They come into play mainly with investments in Asia, making the Groups rollout of its E&amp;S risk management framework in the region a key factor when implementing them.</w:t>
      </w:r>
    </w:p>
    <w:p w14:paraId="5BC593F2" w14:textId="77777777" w:rsidR="00E87515" w:rsidRDefault="00000000">
      <w:r>
        <w:t>Societe Generales discussions with public and state bodies are invaluable in this respect, allowing it to offer an experts perspective on questions surrounding how best to set up public financial support to facilitate the ramp‑up of these new low‑carbon technologies.</w:t>
      </w:r>
    </w:p>
    <w:p w14:paraId="45C996F6" w14:textId="77777777" w:rsidR="00E87515" w:rsidRDefault="00000000">
      <w:r>
        <w:t>In 2023, Societe Generale achieved or made progress towards its targets in each of the main areas covered by its commitments, governance, risk management, sector policies, real estate activities, assessments and tailored support for customers.</w:t>
      </w:r>
    </w:p>
    <w:p w14:paraId="61B1325B" w14:textId="77777777" w:rsidR="00E87515" w:rsidRDefault="00000000">
      <w:r>
        <w:t>Assessing nature‑related risks, impacts and dependencies With a view to ensuring CSRD compliance and implementing the TNFDs recommendations, the Group is in the process of evaluating its credit portfolio.</w:t>
      </w:r>
    </w:p>
    <w:p w14:paraId="65E5C8D7" w14:textId="77777777" w:rsidR="00E87515" w:rsidRDefault="00000000">
      <w:r>
        <w:t>This approach is aligned with current European supervisory and regulatory standards.</w:t>
      </w:r>
    </w:p>
    <w:p w14:paraId="3B56BCA4" w14:textId="77777777" w:rsidR="00E87515" w:rsidRDefault="00000000">
      <w:r>
        <w:lastRenderedPageBreak/>
        <w:t>As aggravating factors for the other risks already addressed by the Groups risk management framework, ESG risk factors are managed based on the existing governance framework and processes in a standard approach, identification, quantification, definition of risk appetite, control and mitigation.</w:t>
      </w:r>
    </w:p>
    <w:p w14:paraId="098FC5EF" w14:textId="77777777" w:rsidR="00E87515" w:rsidRDefault="00000000">
      <w:r>
        <w:t>The risk classes that are already covered by its risk management framework credit risk, counterparty risk, market risk, etc.</w:t>
      </w:r>
    </w:p>
    <w:p w14:paraId="6BA919F1" w14:textId="77777777" w:rsidR="00E87515" w:rsidRDefault="00000000">
      <w:r>
        <w:t>ESG factors cover environmental, social or governance issues that generate a positive or negative impact on a sovereign or individual entitys financial performance or solvency.</w:t>
      </w:r>
    </w:p>
    <w:p w14:paraId="515534A0" w14:textId="77777777" w:rsidR="00E87515" w:rsidRDefault="00000000">
      <w:r>
        <w:t>In parallel with its preparations for entry into effect of the Corporate Sustainability Reporting Directive , the Group is also looking into the extent to which and how soon it can implement the TNFDs recommendations in its reporting.</w:t>
      </w:r>
    </w:p>
    <w:p w14:paraId="4CD0C48D" w14:textId="77777777" w:rsidR="00E87515" w:rsidRDefault="00000000">
      <w:r>
        <w:t>Science‑Based Targets Network Corporate Program W Societe Generale has been committed to the development of the SBTN since 2021.</w:t>
      </w:r>
    </w:p>
    <w:p w14:paraId="00113AAE" w14:textId="77777777" w:rsidR="00E87515" w:rsidRDefault="00000000">
      <w:r>
        <w:t>Launched in September 2020, the Pledge has been signed by 153 financial institutions to date, all committed to protecting and restoring biodiversity through their investment activities.</w:t>
      </w:r>
    </w:p>
    <w:p w14:paraId="3004D671" w14:textId="77777777" w:rsidR="00E87515" w:rsidRDefault="00000000">
      <w:r>
        <w:t>Examples of such impacts include, lower real estate values, erosion of household wealth, lower return from assets, higher insurance premiums, increased compliance and legal costs, rise in other costs, material damage and disruption to activities, loss of market share, negative impact on the Companys image, and financial contagion market losses and tighter credit conditions.</w:t>
      </w:r>
    </w:p>
    <w:p w14:paraId="44A36D7E" w14:textId="4AD93F3F" w:rsidR="00E87515" w:rsidRDefault="00000000">
      <w:r>
        <w:t>Governance of risk management, which comprises, W the Responsible Commitments Committee , insofar as alignment commitments are also a way of managing transition risk and, in part, reputation risk, the Group‑level CORISQs and Credit Risk Committees , both of which include climate and environmental risks, the New Product Committees , which include climate and environmental risks in their own processes, where relevant, other Group Committees handling certain risks that are not reviewed in the CORISQ, but which may be relevant for ESG topics, the Assets and Liabilities Committee , the Finance Committee or the Compliance Committee.</w:t>
      </w:r>
    </w:p>
    <w:p w14:paraId="4CAC43FA" w14:textId="77777777" w:rsidR="00E87515" w:rsidRDefault="00000000">
      <w:r>
        <w:t>Physical environmental risk factors could also have a significant impact on credit risk.</w:t>
      </w:r>
    </w:p>
    <w:p w14:paraId="07B8B96C" w14:textId="77777777" w:rsidR="00E87515" w:rsidRDefault="00000000">
      <w:r>
        <w:t>Compliance and legal risk High ST MT LT Rapid regulatory, behavioural and technological changes could lead to higher compliance costs to adapt the Banks processes, as well as higher legal costs as standards are tightened.</w:t>
      </w:r>
    </w:p>
    <w:p w14:paraId="54AE116A" w14:textId="77777777" w:rsidR="00E87515" w:rsidRDefault="00000000">
      <w:r>
        <w:t>Liquidity and funding risks High ST MT LT Climate and environmental risks could have a negative impact on the Groups liquidity indicators and financing capacity over all time horizons.</w:t>
      </w:r>
    </w:p>
    <w:p w14:paraId="34DEFDA7" w14:textId="77777777" w:rsidR="00E87515" w:rsidRDefault="00000000">
      <w:r>
        <w:lastRenderedPageBreak/>
        <w:t>Business and strategic risks High MT LT Transition, social and governance risks could have a negative impact on the Groups image and profitability, given that a significant share of revenues from non‑financial counterparties is generated in industries that contribute to climate change.</w:t>
      </w:r>
    </w:p>
    <w:p w14:paraId="69B5C9F4" w14:textId="77777777" w:rsidR="00E87515" w:rsidRDefault="00000000">
      <w:r>
        <w:t>Factors related to the Groups corporate governance concerning management of environmental and social risks and non‑compliance with the Groups corporate governance framework and code could be a source of reputational risk.</w:t>
      </w:r>
    </w:p>
    <w:p w14:paraId="7E11911E" w14:textId="77777777" w:rsidR="00E87515" w:rsidRDefault="00000000">
      <w:r>
        <w:t>They could lead to adverse financial consequences as a result of a range of risk factors, which can be categorised as follows, Identification of environmental risks Unless stated otherwise, the following two sections deal with monitoring of climate risks specifically, which is the most advanced process for addressing environmental risks.</w:t>
      </w:r>
    </w:p>
    <w:p w14:paraId="02F9394B" w14:textId="77777777" w:rsidR="00E87515" w:rsidRDefault="00000000">
      <w:r>
        <w:t>The table below shows the link established between environmental risk drivers and the Groups risk taxonomy in the materiality assessment exercise.</w:t>
      </w:r>
    </w:p>
    <w:p w14:paraId="2E179C6F" w14:textId="77777777" w:rsidR="00E87515" w:rsidRDefault="00000000">
      <w:r>
        <w:t>Physical risks may materialise at local level as a result of natural disasters in a specific area, or at sector level related to climate events or biodiversity, such as water shortages and affect the entire value chain.</w:t>
      </w:r>
    </w:p>
    <w:p w14:paraId="5AD90BEB" w14:textId="2FC17106" w:rsidR="00E87515" w:rsidRDefault="00000000">
      <w:r>
        <w:t>They can be categorised as follows</w:t>
      </w:r>
      <w:r w:rsidR="00BA594D">
        <w:t xml:space="preserve"> </w:t>
      </w:r>
      <w:r>
        <w:t xml:space="preserve"> acute risks, arising from extreme weather events, such as floods, heat waves or fires, and from acute environmental destruction as a result of chemical pollution or an oil spill short to long term, chronic risks, associated with gradual shifts in climate such as rising average temperatures and rising average sea levels, gradual loss of ecosystem services from pesticide use that causes a gradual decline in pollinators, reduced soil fertility and lower agricultural output, medium to long term.</w:t>
      </w:r>
    </w:p>
    <w:p w14:paraId="53AB0CB0" w14:textId="77777777" w:rsidR="00E87515" w:rsidRDefault="00000000">
      <w:r>
        <w:t>These risks may be affected by the following factors, W policy, potentially disorderly policy measures to tackle climate or mitigation strategies could have an impact on asset prices in carbon‑intensive sectors short to medium term, technology, developments in technology could render existing technologies obsolete or uncompetitive.</w:t>
      </w:r>
    </w:p>
    <w:p w14:paraId="64129F5E" w14:textId="77777777" w:rsidR="00E87515" w:rsidRDefault="00000000">
      <w:r>
        <w:t>The aim is to strengthen the process of identifying the main implications opportunities and threats of climate and environmental risks for the activities of the Groups Business Units.</w:t>
      </w:r>
    </w:p>
    <w:p w14:paraId="3978B469" w14:textId="77777777" w:rsidR="00E87515" w:rsidRDefault="00000000">
      <w:r>
        <w:t>It will provide the Group with a systematic mechanism for analysing and embedding the impact of climate and environmental risks in the Groups business strategy.</w:t>
      </w:r>
    </w:p>
    <w:p w14:paraId="66AE031F" w14:textId="77777777" w:rsidR="00E87515" w:rsidRDefault="00000000">
      <w:r>
        <w:t>Analysing different scenarios is a way of exploring a series of plausible possible futures in terms of climate change and offers a logical foundation on which to base reasoning and strategy for those possible futures.</w:t>
      </w:r>
    </w:p>
    <w:p w14:paraId="3CBABA71" w14:textId="77777777" w:rsidR="00E87515" w:rsidRDefault="00000000">
      <w:r>
        <w:t>Over the last number of years, the Department of Economic and Sector Studies has been deepening its climate analysis as regards the macro and sectoral impact to include climate considerations, carbon pricing and economic and environment policy actions into the Group economic scenario, with a more granular sector approach.</w:t>
      </w:r>
    </w:p>
    <w:p w14:paraId="628F5664" w14:textId="77777777" w:rsidR="00E87515" w:rsidRDefault="00000000">
      <w:r>
        <w:lastRenderedPageBreak/>
        <w:t>Participation in the exercise and the feedback received from the ECB provided important leverage for the Group to improve how it takes climate risk factors into account in the Groups stress test framework, and to accelerate the development and formal drafting of its methodology.</w:t>
      </w:r>
    </w:p>
    <w:p w14:paraId="2FF23643" w14:textId="77777777" w:rsidR="00E87515" w:rsidRDefault="00000000">
      <w:r>
        <w:t>In 2022, the Group approved the principle of including a climate stress test based on different scenarios in its stress test framework, at least once a year.</w:t>
      </w:r>
    </w:p>
    <w:p w14:paraId="7A186C72" w14:textId="77777777" w:rsidR="00E87515" w:rsidRDefault="00000000">
      <w:r>
        <w:t>Note that the impact of environmental risk on the capital and liquidity risk profile will be assessed in stages in 2024, in accordance with the stages set by the supervisor.</w:t>
      </w:r>
    </w:p>
    <w:p w14:paraId="160555E4" w14:textId="64C55A8D" w:rsidR="00E87515" w:rsidRDefault="00D225B1">
      <w:r>
        <w:t>Alignment measures, the Group has publicly set nine alignment targets in its climate strategy thermal coal, oil and gas, power generation, cement, commercial real estate, shipping, automotive, steel and aluminium.</w:t>
      </w:r>
    </w:p>
    <w:p w14:paraId="65BCC4B2" w14:textId="77777777" w:rsidR="00E87515" w:rsidRDefault="00000000">
      <w:r>
        <w:t>As it develops its strategy and NZBA Net Zero Banking Alliance commitments, the Group is steadily improving how it defines its targets and limits to tackle environmental risks.</w:t>
      </w:r>
    </w:p>
    <w:p w14:paraId="15D2DBB3" w14:textId="77777777" w:rsidR="00E87515" w:rsidRDefault="00000000">
      <w:r>
        <w:t>The new methodology allows greater differentiation between corporates and takes their climate disclosures &amp; strategy into consideration.</w:t>
      </w:r>
    </w:p>
    <w:p w14:paraId="55431F3E" w14:textId="77777777" w:rsidR="00E87515" w:rsidRDefault="00000000">
      <w:r>
        <w:t>There is no change to how the new methodology is governed compared with the first version of CCVI proposal by LOD1, approval by LOD2, compliance with existing Group governance for the allocation of roles and responsibilities.</w:t>
      </w:r>
    </w:p>
    <w:p w14:paraId="0B1276BA" w14:textId="662484CE" w:rsidR="00E87515" w:rsidRDefault="00000000">
      <w:r>
        <w:t>E&amp;S guidelines and general policies, the Group has developed an E&amp;S risk management framework based on its E&amp;S General Principles, sector policies and exclusion lists.</w:t>
      </w:r>
    </w:p>
    <w:p w14:paraId="5E6171F2" w14:textId="4B1B01E5" w:rsidR="00E87515" w:rsidRDefault="00000000">
      <w:r>
        <w:t>Real estate development activities are very little impacted, insofar as developers have a certain ability to pass on the costs of innovations to their customers, in a context where the need for new housing and commercial real estate is expected to continue.</w:t>
      </w:r>
    </w:p>
    <w:p w14:paraId="5B5D297A" w14:textId="77777777" w:rsidR="00E87515" w:rsidRDefault="00000000">
      <w:r>
        <w:t>Indeed, the negative impact of the expected increase in material manufacturing costs on the construction of new buildings induced by the gradual decarbonization of materials manufacturing, should be offset by the expected increase in demand for rehabilitation work on existing buildings and infrastructure needs in connection with the electrification of uses.</w:t>
      </w:r>
    </w:p>
    <w:p w14:paraId="200D21FC" w14:textId="77777777" w:rsidR="00E87515" w:rsidRDefault="00000000">
      <w:r>
        <w:t>But this mode of transport also has major advantages that ensure a certain resilience, it remains by far the most efficient in terms of energy efficiency and it offers the prospect of reducing greenhouse gas emissions.</w:t>
      </w:r>
    </w:p>
    <w:p w14:paraId="32DD9345" w14:textId="77777777" w:rsidR="00E87515" w:rsidRDefault="00000000">
      <w:r>
        <w:t>The shipbuilding sector is generally not expected to be impacted by the climate transition insofar as even if it will see its costs increase, it will benefit from an increased demand for fleet renewal.</w:t>
      </w:r>
    </w:p>
    <w:p w14:paraId="796785EB" w14:textId="77777777" w:rsidR="00E87515" w:rsidRDefault="00000000">
      <w:r>
        <w:lastRenderedPageBreak/>
        <w:t>With lower CO emissions, and benefiting from the prospect of diversifying towards low‑carbon products, the other activities in the Oil &amp; Gas sector distribution and pipeline transport appear to be less impacted by the risks of climate transition.</w:t>
      </w:r>
    </w:p>
    <w:p w14:paraId="13898FFF" w14:textId="77777777" w:rsidR="00E87515" w:rsidRDefault="00000000">
      <w:r>
        <w:t>The corporate climate questionnaire assesses individual corporates climate strategy through, The CCVI is defined in parallel with internal credit and will be reviewed on an annual basis.</w:t>
      </w:r>
    </w:p>
    <w:p w14:paraId="1F65D446" w14:textId="77777777" w:rsidR="00E87515" w:rsidRDefault="00000000">
      <w:r>
        <w:t>W the credibility of their targets, W for decarbonising their activity, targets in place, possibility of certification by an independent third party, clients involvement in material environmental controversies, green revenues and opportunities, reporting on the share of revenue from green sources, marketing of low‑carbon products, green investments, significance of their investments to decarbonise existing activities.</w:t>
      </w:r>
    </w:p>
    <w:p w14:paraId="208D4278" w14:textId="77777777" w:rsidR="00E87515" w:rsidRDefault="00000000">
      <w:r>
        <w:t>It initially opted to focus on developing its own in‑house tools to identify physical climate‑related risks.</w:t>
      </w:r>
    </w:p>
    <w:p w14:paraId="663BC28B" w14:textId="77777777" w:rsidR="00E87515" w:rsidRDefault="00000000">
      <w:r>
        <w:t>The Group has reached out to external partners and data providers to resolve these difficulties, improve the location of its counterparties assets and identify the relevant climate issues that arise as a result.</w:t>
      </w:r>
    </w:p>
    <w:p w14:paraId="1DA33D3E" w14:textId="77777777" w:rsidR="00E87515" w:rsidRDefault="00000000">
      <w:r>
        <w:t>The disclosure of Pillar 3 data on physical risks has also served to improve understanding of related climate issues.</w:t>
      </w:r>
    </w:p>
    <w:p w14:paraId="1A7138D6" w14:textId="77777777" w:rsidR="00E87515" w:rsidRDefault="00000000">
      <w:r>
        <w:t>The Group has thus developed an approach to assess how climate change could affect its most sensitive sites and data centres by increasing the risks of flooding, heatwaves and black‑outs, as well as the consequences of such events for staff, buildings and IT as covered by its existing BCPs.</w:t>
      </w:r>
    </w:p>
    <w:p w14:paraId="049E1DE5" w14:textId="77777777" w:rsidR="00E87515" w:rsidRDefault="00000000">
      <w:r>
        <w:t>The table below shows the link established between social risk factors and the Groups risk taxonomy in the materiality assessment exercise.</w:t>
      </w:r>
    </w:p>
    <w:p w14:paraId="40ED9DDA" w14:textId="4FF0AB09" w:rsidR="00E87515" w:rsidRDefault="00984F24">
      <w:r>
        <w:t xml:space="preserve">An INVI transition questionnaire, organized into categories based on the nature‑based impacts of the economic activities, with reference to the Intergovernmental Science‑Policy Platform on Biodiversity and Ecosystem Services classification of the main direct drivers of biodiversity losses, excluding climate </w:t>
      </w:r>
      <w:proofErr w:type="gramStart"/>
      <w:r>
        <w:t>change</w:t>
      </w:r>
      <w:proofErr w:type="gramEnd"/>
      <w:r>
        <w:t xml:space="preserve"> which is covered by the ICVI, land and sea use change, pollution, over‑exploitation of natural resources and invasive species.</w:t>
      </w:r>
    </w:p>
    <w:p w14:paraId="76CD8EDB" w14:textId="77777777" w:rsidR="00E87515" w:rsidRDefault="00000000">
      <w:r>
        <w:t>Environmental risks can be a source of social risks, the potential impact of the technological and regulatory changes introduced in response to climate change can have a knock‑on effect on labour markets, which could amplify social risks, especially in industries, such as coal.</w:t>
      </w:r>
    </w:p>
    <w:p w14:paraId="46EE5F85" w14:textId="77777777" w:rsidR="00E87515" w:rsidRDefault="00000000">
      <w:r>
        <w:t>For example, stakeholders who fail to respect employment rights could see an impact of the social changes that require new policies, such as safer and healthier workplaces.</w:t>
      </w:r>
    </w:p>
    <w:p w14:paraId="41D343D0" w14:textId="77777777" w:rsidR="00E87515" w:rsidRDefault="00000000">
      <w:r>
        <w:t xml:space="preserve">Contracting parties that apply a lower standard of employment rights or other social standards, or that operate a business or depend on suppliers that operate in a country with </w:t>
      </w:r>
      <w:r>
        <w:lastRenderedPageBreak/>
        <w:t>poor protections for workers could face increased compliance costs in the future, which could have an impact on their financial position.</w:t>
      </w:r>
    </w:p>
    <w:p w14:paraId="60DD5BE0" w14:textId="6402D8C2" w:rsidR="00E87515" w:rsidRDefault="00B51BD0">
      <w:r>
        <w:t>Change in market trends, some policy measures were introduced in response to social pressure demanding equal pay for equal work, balanced representation, and diversity.</w:t>
      </w:r>
    </w:p>
    <w:p w14:paraId="271A8DFF" w14:textId="77777777" w:rsidR="00E87515" w:rsidRDefault="00000000">
      <w:r>
        <w:t>Other policies are expected to be introduced over the next few years to achieve the SDG 2030 social objectives and targets.</w:t>
      </w:r>
    </w:p>
    <w:p w14:paraId="40C63F83" w14:textId="77777777" w:rsidR="00E87515" w:rsidRDefault="00000000">
      <w:r>
        <w:t>Readers will also find it in the sections explaining the general principles of the Groups Environment and Social policy and its E&amp;S sector policies.</w:t>
      </w:r>
    </w:p>
    <w:p w14:paraId="107F5032" w14:textId="77777777" w:rsidR="00E87515" w:rsidRDefault="00000000">
      <w:r>
        <w:t>The Groups ESG assessments of its counterparties is scaffolded by these Environment and Social general principles, which provide a general framework to verify respect for basic human rights and care for the environment.</w:t>
      </w:r>
    </w:p>
    <w:p w14:paraId="7F344C33" w14:textId="77777777" w:rsidR="00E87515" w:rsidRDefault="00000000">
      <w:r>
        <w:t>They cover the following topics in particular, In making these commitments, the Groups objective is twofold, limit potential direct adverse social impacts, and encourage transactions and clients that make a positive impact to sustainable development.</w:t>
      </w:r>
    </w:p>
    <w:p w14:paraId="145C5005" w14:textId="77777777" w:rsidR="00E87515" w:rsidRDefault="00000000">
      <w:r>
        <w:t>The Group has developed the procedures and tools it needs to ensure it delivers on its social commitments in its financing operations, human resources management and supply chain.</w:t>
      </w:r>
    </w:p>
    <w:p w14:paraId="34767D4D" w14:textId="77777777" w:rsidR="00E87515" w:rsidRDefault="00000000">
      <w:r>
        <w:t>Credit approval procedures include an assessment of environmental and social criteria, using specific tools, based both on the Groups knowledge of its counterparties and on research into public controversies sparked by social issues.</w:t>
      </w:r>
    </w:p>
    <w:p w14:paraId="40B1B044" w14:textId="77777777" w:rsidR="00E87515" w:rsidRDefault="00000000">
      <w:r>
        <w:t>Negative impact on corporate image W Financial contagion, market losses such as equity markets and debt markets W Tighter credit conditions W Economy, changes in production, demand and sales, leading to lower profitability, difficulties shifting business model W Higher legal and compliance costs W Increased other costs W Negative impact on corporate image W Economy, lower output W Negative impact on corporate image W Material damage and disruption to business W Increased other costs W Increased compliance costs W Economy, lower profitability, weaker demand W Negative impact on corporate image W Increased compliance cost W Economy, lower output W Negative impact on corporate image W Negative impact on corporate image W, , forced labour and slavery.</w:t>
      </w:r>
    </w:p>
    <w:p w14:paraId="7BC3EA81" w14:textId="77777777" w:rsidR="00E87515" w:rsidRDefault="00000000">
      <w:r>
        <w:t>The table below shows the link established between governance risk factors and the Groups risk taxonomy in the materiality assessment exercise.</w:t>
      </w:r>
    </w:p>
    <w:p w14:paraId="260853D8" w14:textId="77777777" w:rsidR="00E87515" w:rsidRDefault="00000000">
      <w:r>
        <w:t>Sector policies also make clear that governance risks are considered in the KYC Know Your Customer and other compliance procedures to make sure that the Group complies with applicable laws and regulations, including exclusions based on international sanctions.</w:t>
      </w:r>
    </w:p>
    <w:p w14:paraId="1F83ACED" w14:textId="77777777" w:rsidR="00E87515" w:rsidRDefault="00000000">
      <w:r>
        <w:t xml:space="preserve">These data have allowed us to apply the exclusion criteria as defined under regulation 20201818 regarding revenue or emission intensity thresholds as well as the assessment of </w:t>
      </w:r>
      <w:r>
        <w:lastRenderedPageBreak/>
        <w:t>significant harm to at least one of the six environmental objectives referred to in Article 9 of Regulation 2020852.</w:t>
      </w:r>
    </w:p>
    <w:p w14:paraId="198DBE37" w14:textId="78379123" w:rsidR="00E87515" w:rsidRDefault="00000000">
      <w:r>
        <w:t>The exposures sensitive to the impact of climate change physical events are reported in gross amounts</w:t>
      </w:r>
      <w:r w:rsidR="00FA33CF">
        <w:t>.</w:t>
      </w:r>
    </w:p>
    <w:p w14:paraId="6DC70DB5" w14:textId="77777777" w:rsidR="00E87515" w:rsidRDefault="00000000">
      <w:r>
        <w:t>Before taking into account mitigating measures such as insurance coverage or mitigating actions by counterparties or public actors such as flood protection systems based on the location of the assets.</w:t>
      </w:r>
    </w:p>
    <w:p w14:paraId="0865CEC5" w14:textId="77777777" w:rsidR="00E87515" w:rsidRDefault="00000000">
      <w:r>
        <w:t>GAR % a b c d e Disclosure reference date T, KPIs on stock Climate Change Mitigation Proportion of eligible assets funding taxonomy relevant sectors Of which environmentally sustainable % compared to total covered assets in the denominator Of which specialised lending Of which transitional Of which enabling 1 GAR 20.</w:t>
      </w:r>
    </w:p>
    <w:p w14:paraId="44BA1257" w14:textId="77777777" w:rsidR="00E87515" w:rsidRDefault="00000000">
      <w:r>
        <w:t>It should be also noted that Société Générale Group may support its clients in issuing green debt, which are eligible for inclusion in this template, but not on the Groups balance sheet.</w:t>
      </w:r>
    </w:p>
    <w:p w14:paraId="315E64FB" w14:textId="77777777" w:rsidR="00E87515" w:rsidRDefault="00000000">
      <w:r>
        <w:t>In addition, the nature of climate change mitigation measures is detailed in Chapter 5.</w:t>
      </w:r>
    </w:p>
    <w:p w14:paraId="0D54AEB4" w14:textId="77777777" w:rsidR="00E87515" w:rsidRDefault="00000000">
      <w:r>
        <w:t>The source of model risk may be linked to errors in development, implementation or use of these models and can take the form of model uncertainty or errors in the implementation of model management processes.</w:t>
      </w:r>
    </w:p>
    <w:p w14:paraId="04BEE7BE" w14:textId="77777777" w:rsidR="00E87515" w:rsidRDefault="00000000">
      <w:r>
        <w:t>Since then, the model risk management framework has been consolidated and structured and is based today on the following device.</w:t>
      </w:r>
    </w:p>
    <w:p w14:paraId="2ACD07EA" w14:textId="77777777" w:rsidR="00E87515" w:rsidRDefault="00000000">
      <w:r>
        <w:t>The device is as follows, Governance, steering and monitoring A MRM Committee chaired by the Risk Director meets at least every three months to ensure the implementation of the management system and monitor the risk of models at Group level.</w:t>
      </w:r>
    </w:p>
    <w:p w14:paraId="16B57613" w14:textId="77777777" w:rsidR="00E87515" w:rsidRDefault="00000000">
      <w:r>
        <w:t>As such, the first line of defence LoD1, which brings together several teams with diverse skills within the Group, is responsible for the development, implementation, use and monitoring of the relevance over time of the models, in accordance with model risk management system.</w:t>
      </w:r>
    </w:p>
    <w:p w14:paraId="4A7F771E" w14:textId="77777777" w:rsidR="00E87515" w:rsidRDefault="00000000">
      <w:r>
        <w:t>W the normative framework applicable to all of the Groups models is defined, applied when necessary to the main families of models to provide details on the specifics, and maintained while ensuring the consistency and homogeneity of the system, its integrity and its compliance with regulatory provisions.</w:t>
      </w:r>
    </w:p>
    <w:p w14:paraId="170986ED" w14:textId="77777777" w:rsidR="00E87515" w:rsidRDefault="00000000">
      <w:r>
        <w:t>The file must set out arguments justifying an investment of the allotted size, with details of, The Groups General Management must approve the investment amount if it exceeds EUR 50 million and must base its decision on the opinion delivered by the Strategy Department, the Finance Department, the General Secretariat and the Compliance Department.</w:t>
      </w:r>
    </w:p>
    <w:p w14:paraId="638A0172" w14:textId="77777777" w:rsidR="00E87515" w:rsidRDefault="00000000">
      <w:r>
        <w:lastRenderedPageBreak/>
        <w:t>These files are assessed by the Strategy Department with the assistance of experts from the Services Units and Business Units involved in the operation, comprising at least the Finance Department, the General Secretariats Legal and Tax Departments and the Compliance Department.</w:t>
      </w:r>
    </w:p>
    <w:p w14:paraId="406659F7" w14:textId="77777777" w:rsidR="00E87515" w:rsidRDefault="00000000">
      <w:r>
        <w:t>This Committee debates and decides residual values, considering local market specificities, documenting its approach, ensuring that there is a clear audit trail.</w:t>
      </w:r>
    </w:p>
    <w:p w14:paraId="3196339F" w14:textId="77777777" w:rsidR="00E87515" w:rsidRDefault="00000000">
      <w:r>
        <w:t>This team informs Ayvens regional Directors, group Chief Risk and Compliance Officer andor other ExCo members in case of disagreements.</w:t>
      </w:r>
    </w:p>
    <w:sectPr w:rsidR="00E87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94117777">
    <w:abstractNumId w:val="8"/>
  </w:num>
  <w:num w:numId="2" w16cid:durableId="533692321">
    <w:abstractNumId w:val="6"/>
  </w:num>
  <w:num w:numId="3" w16cid:durableId="1578785431">
    <w:abstractNumId w:val="5"/>
  </w:num>
  <w:num w:numId="4" w16cid:durableId="2029257855">
    <w:abstractNumId w:val="4"/>
  </w:num>
  <w:num w:numId="5" w16cid:durableId="88964172">
    <w:abstractNumId w:val="7"/>
  </w:num>
  <w:num w:numId="6" w16cid:durableId="1122769367">
    <w:abstractNumId w:val="3"/>
  </w:num>
  <w:num w:numId="7" w16cid:durableId="602881572">
    <w:abstractNumId w:val="2"/>
  </w:num>
  <w:num w:numId="8" w16cid:durableId="888079574">
    <w:abstractNumId w:val="1"/>
  </w:num>
  <w:num w:numId="9" w16cid:durableId="80435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63D"/>
    <w:rsid w:val="0015074B"/>
    <w:rsid w:val="001D2007"/>
    <w:rsid w:val="00225B73"/>
    <w:rsid w:val="0029639D"/>
    <w:rsid w:val="002E2BAC"/>
    <w:rsid w:val="003022DA"/>
    <w:rsid w:val="00326F90"/>
    <w:rsid w:val="00361C3E"/>
    <w:rsid w:val="003A09BB"/>
    <w:rsid w:val="004F3AAF"/>
    <w:rsid w:val="005235FB"/>
    <w:rsid w:val="00582B54"/>
    <w:rsid w:val="005C66CB"/>
    <w:rsid w:val="005E1D24"/>
    <w:rsid w:val="00661B61"/>
    <w:rsid w:val="00664684"/>
    <w:rsid w:val="00672963"/>
    <w:rsid w:val="00742E35"/>
    <w:rsid w:val="007B3EFF"/>
    <w:rsid w:val="00936BBF"/>
    <w:rsid w:val="00943325"/>
    <w:rsid w:val="00984F24"/>
    <w:rsid w:val="00985E1E"/>
    <w:rsid w:val="00AA1D8D"/>
    <w:rsid w:val="00AA648E"/>
    <w:rsid w:val="00B30342"/>
    <w:rsid w:val="00B33FE1"/>
    <w:rsid w:val="00B47730"/>
    <w:rsid w:val="00B51BD0"/>
    <w:rsid w:val="00B62FD1"/>
    <w:rsid w:val="00B9011E"/>
    <w:rsid w:val="00BA594D"/>
    <w:rsid w:val="00C21D3A"/>
    <w:rsid w:val="00CB0664"/>
    <w:rsid w:val="00D225B1"/>
    <w:rsid w:val="00D409CF"/>
    <w:rsid w:val="00E457FF"/>
    <w:rsid w:val="00E513F4"/>
    <w:rsid w:val="00E87515"/>
    <w:rsid w:val="00EC7125"/>
    <w:rsid w:val="00F00C50"/>
    <w:rsid w:val="00FA3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81D0F"/>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10340</Words>
  <Characters>58940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35</cp:revision>
  <dcterms:created xsi:type="dcterms:W3CDTF">2013-12-23T23:15:00Z</dcterms:created>
  <dcterms:modified xsi:type="dcterms:W3CDTF">2025-08-13T09:20:00Z</dcterms:modified>
  <cp:category/>
</cp:coreProperties>
</file>