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5EDC" w14:textId="77777777" w:rsidR="00B07AED" w:rsidRDefault="00000000">
      <w:r>
        <w:t>Governance The Pillar III disclosures have been subject to our internal control framework, to ensure compliance with laws and regulations.</w:t>
      </w:r>
    </w:p>
    <w:p w14:paraId="328DF092" w14:textId="77777777" w:rsidR="00B07AED" w:rsidRDefault="00000000">
      <w:r>
        <w:t>Regulatory framework In 2010, the Basel III framework was adopted and consequently translated in the European Union into regulation through the Capital Requirement Regulation and Capital Requirement Directive IV CRD IV.</w:t>
      </w:r>
    </w:p>
    <w:p w14:paraId="0A52D1EE" w14:textId="4A792864" w:rsidR="00B07AED" w:rsidRDefault="00000000">
      <w:r>
        <w:t>Pillar II is about Supervisory Review and Evaluation Process, which requires banks to undertake an internal capital adequacy assessment process to identify and assess risks, also those not included in Pillar I, and maintain sufficient capital to face these risks, and an internal liquidity adequacy assessment process focusing on maintaining sufficient liquidity and funding risk management.</w:t>
      </w:r>
    </w:p>
    <w:p w14:paraId="264C567A" w14:textId="77777777" w:rsidR="00B07AED" w:rsidRDefault="00000000">
      <w:r>
        <w:t>Mitigating actions, what mitigating actions banks have in place to address those risks, including financing activities that reduce carbon emissions.</w:t>
      </w:r>
    </w:p>
    <w:p w14:paraId="599E56F1" w14:textId="77777777" w:rsidR="00B07AED" w:rsidRDefault="00000000">
      <w:r>
        <w:t>Both of these capital metrics are used to determine the amount of capital that a transaction or business unit requires to support the economic and regulatory-based risks it faces.</w:t>
      </w:r>
    </w:p>
    <w:p w14:paraId="2A7A467A" w14:textId="77777777" w:rsidR="00B07AED" w:rsidRDefault="00000000">
      <w:r>
        <w:t>EC is a non-accounting measure that is inherently subject to dynamic changes and updated as a result of ING’s portfolio mix and general market developments.</w:t>
      </w:r>
    </w:p>
    <w:p w14:paraId="2FEE7184" w14:textId="77777777" w:rsidR="00B07AED" w:rsidRDefault="00000000">
      <w:r>
        <w:t>The AIRB approach is permitted by the regulator if there are regulatory approved rating models PD, EAD and LGD in place and if the local management understands and uses these rating models Basel Use Test in their credit decision-making processes.</w:t>
      </w:r>
    </w:p>
    <w:p w14:paraId="69859B75" w14:textId="77777777" w:rsidR="00B07AED" w:rsidRDefault="00000000">
      <w:r>
        <w:t>Practice-based drivers including approaches to risk management and risk measurement.</w:t>
      </w:r>
    </w:p>
    <w:p w14:paraId="45A9D4C9" w14:textId="72A1AA9F" w:rsidR="00B07AED" w:rsidRDefault="00000000">
      <w:r>
        <w:t xml:space="preserve">Comparing capital levels across banks is a challenging exercise because of different risk profiles, differences in </w:t>
      </w:r>
      <w:r w:rsidR="00833FBD">
        <w:t>risk-based</w:t>
      </w:r>
      <w:r>
        <w:t xml:space="preserve"> drivers, </w:t>
      </w:r>
      <w:r w:rsidR="00833FBD">
        <w:t>practice-based</w:t>
      </w:r>
      <w:r>
        <w:t xml:space="preserve"> drivers and the regulatory environment</w:t>
      </w:r>
      <w:r w:rsidR="00E33526">
        <w:t>.</w:t>
      </w:r>
    </w:p>
    <w:p w14:paraId="18C06941" w14:textId="1CD9DE92" w:rsidR="00B07AED" w:rsidRDefault="00000000">
      <w:r>
        <w:t xml:space="preserve">It is used throughout ING in the decision-making process mainly wholesale banking, in risk adjusted counterparty and portfolio profitability measurement tools wholesale and retail banking, in investment and divestment decisions, in the country risk framework and in concentration risk management, including risk appetite </w:t>
      </w:r>
      <w:r w:rsidR="00833FBD">
        <w:t>statements.</w:t>
      </w:r>
    </w:p>
    <w:p w14:paraId="2892A23B" w14:textId="77777777" w:rsidR="00B07AED" w:rsidRDefault="00000000">
      <w:r>
        <w:t>An important characteristic of our IT systems and framework is that models are built for several purposes, including economic capital, regulatory capital and loan loss provisioning.</w:t>
      </w:r>
    </w:p>
    <w:p w14:paraId="1C666D14" w14:textId="1E17A23E" w:rsidR="00B07AED" w:rsidRDefault="00000000">
      <w:r>
        <w:t xml:space="preserve">Credit risk measurement There are two ways to measure credit risk for regulatory reporting purposes within ING’s portfolio, depending on whether the exposure is booked under an ING office that is permitted by the ECB to use the advanced internal </w:t>
      </w:r>
      <w:proofErr w:type="gramStart"/>
      <w:r>
        <w:t>rating based</w:t>
      </w:r>
      <w:proofErr w:type="gramEnd"/>
      <w:r>
        <w:t xml:space="preserve"> approach, or if it falls under the </w:t>
      </w:r>
      <w:proofErr w:type="spellStart"/>
      <w:r>
        <w:t>standardised</w:t>
      </w:r>
      <w:proofErr w:type="spellEnd"/>
      <w:r>
        <w:t xml:space="preserve"> approach</w:t>
      </w:r>
      <w:r w:rsidR="00833FBD">
        <w:t>.</w:t>
      </w:r>
    </w:p>
    <w:p w14:paraId="20736239" w14:textId="77777777" w:rsidR="00B07AED" w:rsidRDefault="00000000">
      <w:r>
        <w:t>As such, the SA is the least sophisticated of the regulatory capital methodologies and is not as sensitive as the risk-based approach.</w:t>
      </w:r>
    </w:p>
    <w:p w14:paraId="058BE2E7" w14:textId="77777777" w:rsidR="00B07AED" w:rsidRDefault="00000000">
      <w:r>
        <w:lastRenderedPageBreak/>
        <w:t>These models are subject to Credit and Trading Risk Committee approval and changes which significantly impact the results require approval from the regulator before implementation.</w:t>
      </w:r>
    </w:p>
    <w:p w14:paraId="628C6240" w14:textId="77777777" w:rsidR="00B07AED" w:rsidRDefault="00000000">
      <w:r>
        <w:t>The performance and predictive power of the models is monitored by Model Development, that is part of the Financial Risk department.</w:t>
      </w:r>
    </w:p>
    <w:p w14:paraId="6D2AF983" w14:textId="7D5DFC9A" w:rsidR="00B07AED" w:rsidRDefault="00000000">
      <w:r>
        <w:t>Investor securitisations ING’s goal is to maintain a portfolio of high quality liquid assets that meets the regulatory requirements of CRR</w:t>
      </w:r>
      <w:r w:rsidR="00E002F7">
        <w:t xml:space="preserve"> </w:t>
      </w:r>
      <w:r>
        <w:t>CRD IV and the Delegated Act of October 2014 regarding liquidity.</w:t>
      </w:r>
    </w:p>
    <w:p w14:paraId="24B303D6" w14:textId="77777777" w:rsidR="00B07AED" w:rsidRDefault="00000000">
      <w:r>
        <w:t>The following tables provides the breakdown of current exposures by risk weight bands and by regulatory approach.</w:t>
      </w:r>
    </w:p>
    <w:p w14:paraId="02A6FC24" w14:textId="77777777" w:rsidR="00B07AED" w:rsidRDefault="00000000">
      <w:r>
        <w:t>The IRRBB risk appetite is set or updated at least annually and must be based on strategic objectives, identified IRRBB risks and regulatory requirements.</w:t>
      </w:r>
    </w:p>
    <w:p w14:paraId="5B23AAEC" w14:textId="77777777" w:rsidR="00B07AED" w:rsidRDefault="00000000">
      <w:r>
        <w:t>This framework describes roles, responsibilities, risk metrics, and the policies and procedures related to interest rate risk management.</w:t>
      </w:r>
    </w:p>
    <w:p w14:paraId="02610246" w14:textId="77777777" w:rsidR="00B07AED" w:rsidRDefault="00000000">
      <w:r>
        <w:t>As a result of this framework, ING centralises interest rate risk management from commercial books that capture the interest rate risks in the products sold to clients to globally managed interest rate risk books within Group Treasury.</w:t>
      </w:r>
    </w:p>
    <w:p w14:paraId="5EA0D613" w14:textId="77777777" w:rsidR="00B07AED" w:rsidRDefault="00000000">
      <w:r>
        <w:t>The sensitivity view includes the IRRBB-specific regulatory measures and the risk measures used for internal management.</w:t>
      </w:r>
    </w:p>
    <w:p w14:paraId="5B417BE8" w14:textId="77777777" w:rsidR="00B07AED" w:rsidRDefault="00000000">
      <w:r>
        <w:t>For this measure, the following key modelling and parametric assumptions are applied based on the management judgement and analysis, &gt;&gt; The NII-at-Risk figures are measured based on the assumption of the balance sheet development in line with the dynamic plan.</w:t>
      </w:r>
    </w:p>
    <w:p w14:paraId="7A3B5E6D" w14:textId="77777777" w:rsidR="00B07AED" w:rsidRDefault="00000000">
      <w:r>
        <w:t>ING Group has funding mix limits established by risk management and managed by Group Treasury.</w:t>
      </w:r>
    </w:p>
    <w:p w14:paraId="52A2720F" w14:textId="77777777" w:rsidR="00B07AED" w:rsidRDefault="00000000">
      <w:r>
        <w:t>HLBA Historic Look-Back Approach, Potential collateral calls, from market developments, are taken into account in the LCR via a 24-month look-back approach.</w:t>
      </w:r>
    </w:p>
    <w:p w14:paraId="3CFE8A08" w14:textId="77777777" w:rsidR="00B07AED" w:rsidRDefault="00000000">
      <w:r>
        <w:t>Currently under development and will be covered by the new ESG Risk Framework.</w:t>
      </w:r>
    </w:p>
    <w:p w14:paraId="0C0233EB" w14:textId="466C0668" w:rsidR="00B07AED" w:rsidRDefault="00000000">
      <w:r>
        <w:t>ING Group Additional Pillar III Report 2023 94, Alignment of the remuneration policy with institution's environmental risk-related objectives, "ESG-linked executive remuneration" section in the ESG overview chapter of the 2023 Annual Report and, Capital Requirements Regulation Remuneration Disclosure published on ing.</w:t>
      </w:r>
    </w:p>
    <w:p w14:paraId="4B8E7E22" w14:textId="77777777" w:rsidR="00B07AED" w:rsidRDefault="00000000">
      <w:r>
        <w:t>This will be addressed by the new ESG Risk framework and environmental scorecard.</w:t>
      </w:r>
    </w:p>
    <w:p w14:paraId="3489CE4C" w14:textId="77777777" w:rsidR="00B07AED" w:rsidRDefault="00000000">
      <w:r>
        <w:t xml:space="preserve">ING Group Additional Pillar III Report 2023 95 Qualitative information on Social risk Business strategy and processes Sources, , Adjustment of the institution's business strategy </w:t>
      </w:r>
      <w:r>
        <w:lastRenderedPageBreak/>
        <w:t>to integrate social factors and risks taking into account the impact of social risk on the institution's business environment, business model, strategy and financial planning, Human Rights section as part of the Sustainability Strategy disclosed on the ING website.</w:t>
      </w:r>
    </w:p>
    <w:p w14:paraId="19A3ACBE" w14:textId="77777777" w:rsidR="00B07AED" w:rsidRDefault="00000000">
      <w:r>
        <w:t>Data quality improvement projects are ongoing locally on EPC labels and Energy Performance data availability, as well as the development of new local and central models to estimate the energy efficiency score where not available.</w:t>
      </w:r>
    </w:p>
    <w:p w14:paraId="3726C19A" w14:textId="77777777" w:rsidR="00B07AED" w:rsidRDefault="00000000">
      <w:r>
        <w:t>Determination of geographical areas ING Group Additional Pillar III Report 2023 103 The ITS stipulates that the breakdown shall cover the geographical areas exposed to negative impact from climate change physical events.</w:t>
      </w:r>
    </w:p>
    <w:p w14:paraId="64DDFCD9" w14:textId="77777777" w:rsidR="00B07AED" w:rsidRDefault="00000000">
      <w:r>
        <w:t>Based on this, ING decided to disclose separate templates for countries with the highest sensitivity based on gross carrying amounts, besides the consolidated template reflecting the entire ING portfolio exposed to negative impact from climate change physical events.</w:t>
      </w:r>
    </w:p>
    <w:p w14:paraId="3339EABF" w14:textId="25259980" w:rsidR="00B07AED" w:rsidRDefault="00000000">
      <w:r>
        <w:t>Institutions shall disclose in this template information on gross carrying amount of institutions’ loans and advances, debt securities and equity instruments on their banking book, with a breakdown of the information by type of counterparty, including financial corporations, non-financial corporations, households, local governments as well as real estate lending towards households, and the taxonomy eligibility and taxonomy alignment of the exposures with regard to the environmental objectives of climate change mitigation and climate change adaptation as referred to in Article 9 points an</w:t>
      </w:r>
      <w:r w:rsidR="00CC39E2">
        <w:t xml:space="preserve">d </w:t>
      </w:r>
      <w:r>
        <w:t>of Regulation 2020/852.</w:t>
      </w:r>
    </w:p>
    <w:p w14:paraId="4FEF7A07" w14:textId="4B710CEE" w:rsidR="00B07AED" w:rsidRDefault="00000000">
      <w:r>
        <w:t>These loans are issued to initiative that positively impacts, energy transition, increase energy efficiency buildings,</w:t>
      </w:r>
      <w:r w:rsidR="008A1F4E">
        <w:t xml:space="preserve"> </w:t>
      </w:r>
      <w:r>
        <w:t>Circular economy,</w:t>
      </w:r>
      <w:r w:rsidR="008A1F4E">
        <w:t xml:space="preserve"> </w:t>
      </w:r>
      <w:r>
        <w:t>Sustainable mobility.</w:t>
      </w:r>
    </w:p>
    <w:sectPr w:rsidR="00B07A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805314452">
    <w:abstractNumId w:val="8"/>
  </w:num>
  <w:num w:numId="2" w16cid:durableId="219175761">
    <w:abstractNumId w:val="6"/>
  </w:num>
  <w:num w:numId="3" w16cid:durableId="257450688">
    <w:abstractNumId w:val="5"/>
  </w:num>
  <w:num w:numId="4" w16cid:durableId="1414545191">
    <w:abstractNumId w:val="4"/>
  </w:num>
  <w:num w:numId="5" w16cid:durableId="195585659">
    <w:abstractNumId w:val="7"/>
  </w:num>
  <w:num w:numId="6" w16cid:durableId="370108166">
    <w:abstractNumId w:val="3"/>
  </w:num>
  <w:num w:numId="7" w16cid:durableId="1536622976">
    <w:abstractNumId w:val="2"/>
  </w:num>
  <w:num w:numId="8" w16cid:durableId="1283531586">
    <w:abstractNumId w:val="1"/>
  </w:num>
  <w:num w:numId="9" w16cid:durableId="46099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29C"/>
    <w:rsid w:val="004F5755"/>
    <w:rsid w:val="005C0AD5"/>
    <w:rsid w:val="00833FBD"/>
    <w:rsid w:val="008A1F4E"/>
    <w:rsid w:val="009B3397"/>
    <w:rsid w:val="00AA1D8D"/>
    <w:rsid w:val="00AC591C"/>
    <w:rsid w:val="00B07AED"/>
    <w:rsid w:val="00B47730"/>
    <w:rsid w:val="00CB0664"/>
    <w:rsid w:val="00CC39E2"/>
    <w:rsid w:val="00E002F7"/>
    <w:rsid w:val="00E33526"/>
    <w:rsid w:val="00F75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EC925"/>
  <w14:defaultImageDpi w14:val="300"/>
  <w15:docId w15:val="{593FCD79-4E88-F247-8FDD-F8F2C2E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10</cp:revision>
  <dcterms:created xsi:type="dcterms:W3CDTF">2013-12-23T23:15:00Z</dcterms:created>
  <dcterms:modified xsi:type="dcterms:W3CDTF">2025-08-03T20:04:00Z</dcterms:modified>
  <cp:category/>
</cp:coreProperties>
</file>