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00EFB" w14:textId="7D84339A" w:rsidR="001776FE" w:rsidRDefault="00000000">
      <w:r>
        <w:t xml:space="preserve">In our opinion, on the basis of the knowledge obtained in the audit, the accompanying annual Õnancial statements comply, in all material respects, with the requirements of German commercial law applicable to institutions and give a true and fair view of the assets, liabilities and Õnancial position of the Institution as at 31 December 2023 and of its Õnancial performance for the Õscal year from 1 January 2023 to 31 December 2023 in compliance with German legally required accounting principles, and </w:t>
      </w:r>
      <w:r w:rsidR="00D475B7">
        <w:t>i</w:t>
      </w:r>
      <w:r>
        <w:t>n all material respects, this management report is consistent with the annual Õnancial statements, complies with German legal requirements and appropriately presents the opportunities and risks of future development.</w:t>
      </w:r>
    </w:p>
    <w:p w14:paraId="3698B25D" w14:textId="77777777" w:rsidR="001776FE" w:rsidRDefault="00000000">
      <w:r>
        <w:t xml:space="preserve">The other information also comprises additional parts of the annual Õnancial report of which we obtained a copy prior to issuing this auditors report, </w:t>
      </w:r>
      <w:proofErr w:type="gramStart"/>
      <w:r>
        <w:t>in particular</w:t>
      </w:r>
      <w:proofErr w:type="gramEnd"/>
      <w:r>
        <w:t xml:space="preserve"> the Supervisory Boards report for 2023, but not the annual Õnancial statements, not the management report disclosures whose content is audited and not our auditors report thereon.</w:t>
      </w:r>
    </w:p>
    <w:p w14:paraId="1AFF7460" w14:textId="77777777" w:rsidR="001776FE" w:rsidRDefault="00000000">
      <w:r>
        <w:t>In preparing the annual Õnancial statements, the executive directors are responsible for assessing the Institutions ability to continue as a going concern.</w:t>
      </w:r>
    </w:p>
    <w:p w14:paraId="55205181" w14:textId="77777777" w:rsidR="001776FE" w:rsidRDefault="00000000">
      <w:r>
        <w:t>Furthermore, the executive directors are responsible for the preparation of the management report that, as a whole, provides an appropriate view of the Institutions position and is, in all material respects, consistent with the annual Õnancial statements, complies with German legal requirements and appropriately presents the opportunities and risks of future development.</w:t>
      </w:r>
    </w:p>
    <w:p w14:paraId="53E39868" w14:textId="77777777" w:rsidR="001776FE" w:rsidRDefault="00000000">
      <w:r>
        <w:t>We exercise professional judgment and maintain professional skepticism throughout the audit.</w:t>
      </w:r>
    </w:p>
    <w:p w14:paraId="5D5A9FC0" w14:textId="77777777" w:rsidR="001776FE" w:rsidRDefault="00000000">
      <w:r>
        <w:t>Obtain an understanding of internal control relevant to the audit of the annual Õnancial statements and of arrangements and measures systems relevant to the audit of the management report in order to design audit procedures that are appropriate in the circumstances, but not for the purpose of expressing an opinion on the effectiveness of these systems of the Institution.</w:t>
      </w:r>
    </w:p>
    <w:p w14:paraId="78AF7E02" w14:textId="77777777" w:rsidR="001776FE" w:rsidRDefault="00000000">
      <w:r>
        <w:t>Perform audit procedures on the prospective information presented by the executive directors in the management report.</w:t>
      </w:r>
    </w:p>
    <w:p w14:paraId="7F821D31" w14:textId="77777777" w:rsidR="001776FE" w:rsidRDefault="00000000">
      <w:r>
        <w:t>The risk charge is calculated on the basis of the regulatory value-at-risk approach in such a way that the anticipated maximum loss from the trading portfolio will not be exceeded with a 99% probability over a holding period of 10 days.</w:t>
      </w:r>
    </w:p>
    <w:p w14:paraId="43903A61" w14:textId="77777777" w:rsidR="00793D48" w:rsidRDefault="00000000">
      <w:r>
        <w:t>The increase in the number of employees in the French branch is due to the merger of UBS France S</w:t>
      </w:r>
      <w:r w:rsidR="00C44B24">
        <w:t xml:space="preserve"> </w:t>
      </w:r>
      <w:r>
        <w:t>And UBS Holding France S</w:t>
      </w:r>
      <w:r w:rsidR="00793D48">
        <w:t>.</w:t>
      </w:r>
    </w:p>
    <w:p w14:paraId="788555E5" w14:textId="0F1C7E4C" w:rsidR="001776FE" w:rsidRDefault="00000000">
      <w:r>
        <w:t>At UBS Europe SE, Treasury is responsible for establishing and maintaining a comprehensive governance and control frameworks for capital and liquidity &amp; funding management.</w:t>
      </w:r>
    </w:p>
    <w:p w14:paraId="2E3D3072" w14:textId="77777777" w:rsidR="001776FE" w:rsidRDefault="00000000">
      <w:r>
        <w:lastRenderedPageBreak/>
        <w:t>To further drive synergies and foster our position as continental Europes leading wealth manager, three key levers have been identified to support cross-collaboration initiatives across the bank, One Bank training, incentivization schemes, and reporting capabilities.</w:t>
      </w:r>
    </w:p>
    <w:p w14:paraId="7C7861CC" w14:textId="77777777" w:rsidR="001776FE" w:rsidRDefault="00000000">
      <w:r>
        <w:t>Sustainability A growing range of financial products and services aims to help clients who wish to mobilize capital towards the achievement of the 17 United Nations Sustainable Development Goals SDGs and the orderly transition to a low-carbon economy.</w:t>
      </w:r>
    </w:p>
    <w:p w14:paraId="314CCDE4" w14:textId="77777777" w:rsidR="001776FE" w:rsidRDefault="00000000">
      <w:r>
        <w:t>UBS Europe SE aims to be the financial provider of choice for clients who want to use their capital to achieve specific environmental or social goals.</w:t>
      </w:r>
    </w:p>
    <w:p w14:paraId="6A836430" w14:textId="77777777" w:rsidR="001776FE" w:rsidRDefault="00000000">
      <w:r>
        <w:t>Through cooperation with different stakeholders and initiatives UBS Europe SE promotes a positive impact at a global scale.</w:t>
      </w:r>
    </w:p>
    <w:p w14:paraId="4DA786C3" w14:textId="77777777" w:rsidR="001776FE" w:rsidRDefault="00000000">
      <w:r>
        <w:t>In order to unlock the firms potential, UBS embedded these tenets in its daily business and investment decisions as well as management practices and employee experience.</w:t>
      </w:r>
    </w:p>
    <w:p w14:paraId="2EE9D450" w14:textId="77777777" w:rsidR="001776FE" w:rsidRDefault="00000000">
      <w:r>
        <w:t>Leadership, Ensure robust leadership structures, suitability, and training &amp; development opportunities.</w:t>
      </w:r>
    </w:p>
    <w:p w14:paraId="5B82C2FF" w14:textId="77777777" w:rsidR="001776FE" w:rsidRDefault="00000000">
      <w:r>
        <w:t>Tone from the top, promote communication from the Board of Directors in line with UBS's pillars, principles and behaviours.</w:t>
      </w:r>
    </w:p>
    <w:p w14:paraId="427FAAD8" w14:textId="77777777" w:rsidR="001776FE" w:rsidRDefault="00000000">
      <w:r>
        <w:t>MyImpact, our performance management approach, considers both contribution and behavior of an employee and supports our corporate vision and our corporate targets.</w:t>
      </w:r>
    </w:p>
    <w:p w14:paraId="36CA0420" w14:textId="77777777" w:rsidR="001776FE" w:rsidRDefault="00000000">
      <w:r>
        <w:t>It features aspirational objectives aligned to strategic priorities and regular coaching conversations to support employees development.</w:t>
      </w:r>
    </w:p>
    <w:p w14:paraId="7F0D096D" w14:textId="77777777" w:rsidR="001776FE" w:rsidRDefault="00000000">
      <w:r>
        <w:t>Gender diversity is a key priority for UBS Europe SE and we continue to be committed to improve in this area.</w:t>
      </w:r>
    </w:p>
    <w:p w14:paraId="322F9794" w14:textId="77777777" w:rsidR="001776FE" w:rsidRDefault="00000000">
      <w:r>
        <w:t>The report contains a consolidated Global Reporting Initiative document, providing a disclosure on environmental, social and governance factors and including the disclosures on non-financial information required by German law implementing the EU directive 201495 CSR-Richtlinie-Umsetzungsgesetz CSR-RUG.</w:t>
      </w:r>
    </w:p>
    <w:p w14:paraId="66D6E1B4" w14:textId="77777777" w:rsidR="001776FE" w:rsidRDefault="00000000">
      <w:r>
        <w:t>Strategically, the environment that the wealth management business and the banking sector in general is facing, is highly conditioned by the following aspects, Changing behaviors and client needs Macroeconomic developments such as the Russia-Ukraine war, conflicts in the Middle East and US-China trade relations, as well as ongoing structural changes in the global economy and banking industry e.</w:t>
      </w:r>
    </w:p>
    <w:p w14:paraId="5C9DA788" w14:textId="77777777" w:rsidR="001776FE" w:rsidRDefault="00000000">
      <w:r>
        <w:t>Changing interest rate environment, digitalization, sustainability, FinTech are continuously altering financial market dynamics and client expectations.</w:t>
      </w:r>
    </w:p>
    <w:p w14:paraId="2730F0E3" w14:textId="69D0CA59" w:rsidR="001776FE" w:rsidRDefault="00000000">
      <w:r>
        <w:t xml:space="preserve">Additionally, regulators remain focused in policy areas which have already been under constant debate over the past years, including prudential regulation and anti-money </w:t>
      </w:r>
      <w:r>
        <w:lastRenderedPageBreak/>
        <w:t>laundering , and to emerging policy topics, particularly in the areas of digital innovation and environmental, social and governance.</w:t>
      </w:r>
    </w:p>
    <w:p w14:paraId="1B95FE32" w14:textId="77777777" w:rsidR="001776FE" w:rsidRDefault="00000000">
      <w:r>
        <w:t>Material increase of transparency requirements Continuous repatriation of offshore assets to domestic markets or, in some cases, the need to provide advice from the local markets while assets are being booked abroad.</w:t>
      </w:r>
    </w:p>
    <w:p w14:paraId="644593D0" w14:textId="77777777" w:rsidR="001776FE" w:rsidRDefault="00000000">
      <w:r>
        <w:t>Climate related and environmental requirements In the course of the 17 United Nations Sustainable Development Goals the SDGs, Global Wealth Management within UBS Europe SE aims to be the financial provider of choice for clients who wish to mobilize capital towards these achievements and the orderly transition to a low-carbon economy.</w:t>
      </w:r>
    </w:p>
    <w:p w14:paraId="5C446F9F" w14:textId="77777777" w:rsidR="001776FE" w:rsidRDefault="00000000">
      <w:r>
        <w:t>A key focus in this effort is investor and regulatory demand for greater data transparency.</w:t>
      </w:r>
    </w:p>
    <w:p w14:paraId="487B1787" w14:textId="77777777" w:rsidR="001776FE" w:rsidRDefault="00000000">
      <w:r>
        <w:t>As a priority, UBS Europe SE continues to engage with governments and policymakers to foster alignment with a broadly accepted framework for sustainability reporting that provides the guidance and transparency required to address the challenges facing investors.</w:t>
      </w:r>
    </w:p>
    <w:p w14:paraId="35427E0B" w14:textId="77777777" w:rsidR="001776FE" w:rsidRDefault="00000000">
      <w:r>
        <w:t>Helping clients to reshape business models and investment opportunities and to develop sustainable finance products and solutions is at the core of the Invest Banks business.</w:t>
      </w:r>
    </w:p>
    <w:p w14:paraId="52EA4A54" w14:textId="77777777" w:rsidR="001776FE" w:rsidRDefault="00000000">
      <w:r>
        <w:t>It provides investment solutions through socially responsible and impact exchange-traded funds and index-linked notes.</w:t>
      </w:r>
    </w:p>
    <w:p w14:paraId="01326CA9" w14:textId="77777777" w:rsidR="001776FE" w:rsidRDefault="00000000">
      <w:r>
        <w:t>The overall rules and standards of the internal risk management and risk controlling for significant risks including the qualitative and quantitative limits are defined within the risk strategy of UBS Europe SE based on a regular risk identification process in alignment with the strategic business plan.</w:t>
      </w:r>
    </w:p>
    <w:p w14:paraId="067F3157" w14:textId="77777777" w:rsidR="001776FE" w:rsidRDefault="00000000">
      <w:r>
        <w:t>UBS Europe SE has developed liquidity &amp; funding risk drivers covering its business by reviewing the primary and consequential impact to liquidity &amp; funding and through discussions with the business, legal, risk and other stakeholders.</w:t>
      </w:r>
    </w:p>
    <w:p w14:paraId="589494F2" w14:textId="77777777" w:rsidR="001776FE" w:rsidRDefault="00000000">
      <w:r>
        <w:t>In addition to regulatory metrics, ESE measures liquidity &amp; funding risks using a set of internal stress tests covering the risk drivers affecting UBS Europe SE, different stress scenarios, time horizons and both ILAAP perspectives economic and normative supported by Reverse Stress Testing.</w:t>
      </w:r>
    </w:p>
    <w:p w14:paraId="5722F20D" w14:textId="77777777" w:rsidR="001776FE" w:rsidRDefault="00000000">
      <w:r>
        <w:t>The resultant risks are clustered as Operational, Compliance and Financial Crime Risk is further sub-categorized by the UBS Non Financial Risk Taxonomies which are defined within the UBS Framework .</w:t>
      </w:r>
    </w:p>
    <w:p w14:paraId="72ACAEB1" w14:textId="77777777" w:rsidR="001776FE" w:rsidRDefault="00000000">
      <w:r>
        <w:t>Model risk is induced by relying on models to derive business, risk management or control decisions, to identify or measure risks, valuing exposures, value instruments or positions, conduct stress testing, assess adequacy of capital, manage client and own assets, measure or monitor compliance with rules and regulations, survey activities or meet financial or regulatory reporting requirements and issue public disclosures.</w:t>
      </w:r>
    </w:p>
    <w:p w14:paraId="65B6B190" w14:textId="77777777" w:rsidR="001776FE" w:rsidRDefault="00000000">
      <w:r>
        <w:lastRenderedPageBreak/>
        <w:t>Model risk is mitigated by a comprehensive model governance framework ensuring the independence of the validation function.</w:t>
      </w:r>
    </w:p>
    <w:p w14:paraId="2CC6C57E" w14:textId="77777777" w:rsidR="001776FE" w:rsidRDefault="00000000">
      <w:r>
        <w:t>Therefore, the Bank is committed to raising awareness among its employees and providing them with the necessary information and resources to ensure efficient and adequate protection against IT risks.</w:t>
      </w:r>
    </w:p>
    <w:p w14:paraId="609346FE" w14:textId="77777777" w:rsidR="001776FE" w:rsidRDefault="00000000">
      <w:r>
        <w:t>The results of the evaluation processes are used to ensure full compliance with MaRisk and EBA Guideline requirements.</w:t>
      </w:r>
    </w:p>
    <w:p w14:paraId="0D175E69" w14:textId="77777777" w:rsidR="001776FE" w:rsidRDefault="00000000">
      <w:r>
        <w:t>The bank's strategy is to continue using intragroup outsourcings provided mainly by UBS Business Solutions AG, to leverage existing centers of competence for effective business and risk governance.</w:t>
      </w:r>
    </w:p>
    <w:p w14:paraId="548D9758" w14:textId="77777777" w:rsidR="001776FE" w:rsidRDefault="00000000">
      <w:r>
        <w:t>For the efficient outsourcing management UBS Europe SE has set up teams and governance 1st and 2nd line to ensure early and effective implementation of any new regulatory requirements.</w:t>
      </w:r>
    </w:p>
    <w:p w14:paraId="56F3E375" w14:textId="77777777" w:rsidR="001776FE" w:rsidRDefault="00000000">
      <w:r>
        <w:t>Compliance risk Compliance risk is the risk of legal or regulatory sanctions, material financial loss, or loss of reputation a bank may suffer as a result of its failure to comply with laws, regulations, rules, related self-regulatory organization standards, and codes of conduct applicable to its banking activities, as long as such risk is not financial crime related.</w:t>
      </w:r>
    </w:p>
    <w:p w14:paraId="6569ED32" w14:textId="77777777" w:rsidR="001776FE" w:rsidRDefault="00000000">
      <w:r>
        <w:t>UBS Europe SEs Non Financial Risk exposure is systematically monitored, assessed and reported by Operational Risk Control , Compliance and Financial Crime Prevention respectively, in line with the holistic Non Financial Risk Framework based on the three-lines-of-defense model, including the approved non-financial risk appetite, comprehensive control frameworks and key nonfinancial risk assessment and reporting processes.</w:t>
      </w:r>
    </w:p>
    <w:p w14:paraId="2BBD945F" w14:textId="77777777" w:rsidR="001776FE" w:rsidRDefault="00000000">
      <w:r>
        <w:t>UBS Europe SE's governance bodies are fully updated on the Operational, Compliance and Financial Crime risk exposure and mitigation actions on a monthly basis.</w:t>
      </w:r>
    </w:p>
    <w:p w14:paraId="22F1C7FF" w14:textId="77777777" w:rsidR="001776FE" w:rsidRDefault="00000000">
      <w:r>
        <w:t>Overall Statement In summary, UBS Europe SE expects a slight increase in revenues for the coming financial year due to the developments and one-off effects described above.</w:t>
      </w:r>
    </w:p>
    <w:p w14:paraId="3092400E" w14:textId="77777777" w:rsidR="001776FE" w:rsidRDefault="00000000">
      <w:r>
        <w:t>This document may contain statements that constitute forward looking statements including but not limited to statements relating to the anticipated effect of transactions described herein and other risks specific to UBSs business, strategic initiatives, future business development and economic performance.</w:t>
      </w:r>
    </w:p>
    <w:sectPr w:rsidR="001776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610889233">
    <w:abstractNumId w:val="8"/>
  </w:num>
  <w:num w:numId="2" w16cid:durableId="720060436">
    <w:abstractNumId w:val="6"/>
  </w:num>
  <w:num w:numId="3" w16cid:durableId="444694365">
    <w:abstractNumId w:val="5"/>
  </w:num>
  <w:num w:numId="4" w16cid:durableId="226459467">
    <w:abstractNumId w:val="4"/>
  </w:num>
  <w:num w:numId="5" w16cid:durableId="1607687547">
    <w:abstractNumId w:val="7"/>
  </w:num>
  <w:num w:numId="6" w16cid:durableId="747966106">
    <w:abstractNumId w:val="3"/>
  </w:num>
  <w:num w:numId="7" w16cid:durableId="930969854">
    <w:abstractNumId w:val="2"/>
  </w:num>
  <w:num w:numId="8" w16cid:durableId="1569266911">
    <w:abstractNumId w:val="1"/>
  </w:num>
  <w:num w:numId="9" w16cid:durableId="1610434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6FE"/>
    <w:rsid w:val="001F1305"/>
    <w:rsid w:val="0029639D"/>
    <w:rsid w:val="00326F90"/>
    <w:rsid w:val="00672963"/>
    <w:rsid w:val="00793D48"/>
    <w:rsid w:val="00AA1D8D"/>
    <w:rsid w:val="00B47730"/>
    <w:rsid w:val="00C44B24"/>
    <w:rsid w:val="00CB0664"/>
    <w:rsid w:val="00D475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E0A31"/>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2025-08-02T20:22:00Z</dcterms:modified>
  <cp:category/>
</cp:coreProperties>
</file>