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our firm's sustainability approach and activities please see UBS Group AG Sustainability Report 2023 at ubs.</w:t>
      </w:r>
    </w:p>
    <w:p>
      <w:r>
        <w:t>In line with Article 431 of the CRR, UBS Europe SE has a board-approved Pillar 3 disclosure governance policy in place.</w:t>
      </w:r>
    </w:p>
    <w:p>
      <w:r>
        <w:t>Consistently with any other corporate activity, UBS Europe SE derives the approach to risk management and control from a shareholder value creation perspective.</w:t>
      </w:r>
    </w:p>
    <w:p>
      <w:r>
        <w:t>Protection of UBS Europe SEs reputation is ensured through a sound risk culture characterized by a holistic and integrated view of risk, performance and reward, and through full compliance with our standards and principles, particularly our Code of Conduct and Ethics.</w:t>
      </w:r>
    </w:p>
    <w:p>
      <w:r>
        <w:t>Control processes are implemented independently from business functions and to monitor the effectiveness of the businesses risk management and oversee risk-taking activities.</w:t>
      </w:r>
    </w:p>
    <w:p>
      <w:r>
        <w:t>The oversight and controls include all business conducted in the entity including its branches, the risks associated with the branch business and ensuring compliance with local legal and regulatory requirements.</w:t>
      </w:r>
    </w:p>
    <w:p>
      <w:r>
        <w:t>The first line of defense owns its risk exposures and is accountable to maintain effective processes and systems to manage their risks, including robust and comprehensive internal controls and documented procedures, in compliance with applicable laws as well as external and internal regulations.</w:t>
      </w:r>
    </w:p>
    <w:p>
      <w:r>
        <w:t>In addition, New Business Enablement team covers the process execution and oversight of a streamlined and effective risk management for new business initiatives initiated by or impacting UBS Europe SE.</w:t>
      </w:r>
    </w:p>
    <w:p>
      <w:r>
        <w:t>Also, Central Outsourcing Management is responsible for overseeing the classification of contracts and for performing reviews of risk analyses performed by the Local Responsible Officers LROs based on the Regulatory Outsourcing Control Check process pipeline.</w:t>
      </w:r>
    </w:p>
    <w:p>
      <w:r>
        <w:t>The DMO is also sponsoring UBS Europe SE-wide data initiatives at relevant Investment Governance Forums.</w:t>
      </w:r>
    </w:p>
    <w:p>
      <w:r>
        <w:t>Sustainability and Climate Risk, SCR develops and implements UBS Europe SE´s risk framework, including risk appetite, for sustainability and climate risk topics.</w:t>
      </w:r>
    </w:p>
    <w:p>
      <w:r>
        <w:t>Compliance, Compliances primary responsibility as a control function within UBS is to manage Compliance Risks as well as support and advise the management regarding compliance regulations and to perform second line of defense activities in relation to Compliance Risks.</w:t>
      </w:r>
    </w:p>
    <w:p>
      <w:r>
        <w:t>Failure to appropriately manage Compliance Risk can impact UBS Europe SE´s ability to meet strategic objectives, may lead to litigation, poses a risk of censure or penalty, andor put our reputation at risk.</w:t>
      </w:r>
    </w:p>
    <w:p>
      <w:r>
        <w:t>Financial Crime Prevention, The responsibility of FCP is to protect UBS Europe SE and its reputation by ensuring financial crime controls are appropriately designed, owned by the correct stakeholders and appropriately applied, and that policies, procedures, guidelines and manuals reflect legal and regulatory requirements and industry practices.</w:t>
      </w:r>
    </w:p>
    <w:p>
      <w:r>
        <w:t>The function detects money laundering, terrorism financing, internal and external fraud as well as other financial crime relevant predicate offences in a timely manner and ensure compliance with sanctions regulations and internal requirements.</w:t>
      </w:r>
    </w:p>
    <w:p>
      <w:r>
        <w:t>It is also responsible for ensuring the control of market, treasury, L&amp;F risks adheres to firm-wide practices and policies, the 8 development and execution of local control frameworks and policies, where required taking into account relevant local regulatory requirements.</w:t>
      </w:r>
    </w:p>
    <w:p>
      <w:r>
        <w:t>As the third line of defense, IA independently assesses whether risk management, control and governance processes are designed and operate sustainably and effectively.</w:t>
      </w:r>
    </w:p>
    <w:p>
      <w:r>
        <w:t>The committee meets at least six times per year and is co-chaired by the UBS Europe SE CRO and Head of Group Compliance, Regulatory and Governance .</w:t>
      </w:r>
    </w:p>
    <w:p>
      <w:r>
        <w:t>In the Risk Control area for example part of the outsourcing arrangement is to leverage UBS strategic risk platforms, capabilities for the development and maintenance of majority of UBS Europe SEs risk models as well as the reporting for specific risk reports.</w:t>
      </w:r>
    </w:p>
    <w:p>
      <w:r>
        <w:t>UBS Europe SE assesses materiality on,  Gross basis before consideration of any mitigating measures  Residual basis taking into account the effectiveness of all non-capital mitigants Both materiality assessments rely primarily on qualitative considerations due to the diversity of risk types and the particular perspective before consideration of any mitigating measures, which are often contractually embedded in the business and risk management practice.</w:t>
      </w:r>
    </w:p>
    <w:p>
      <w:r>
        <w:t>Compliance risk is the risk of legal or regulatory sanctions, material financial loss, or loss to reputation a bank may suffer as a result of its failure to comply with laws, regulations, rules, related self-regulatory organization standards, and codes of conduct applicable to its banking activities, as long as such risk is not financial crime related.</w:t>
      </w:r>
    </w:p>
    <w:p>
      <w:r>
        <w:t>Climate risks can arise from either changing climate conditions physical risks or from efforts to mitigate climate change transition risks.</w:t>
      </w:r>
    </w:p>
    <w:p>
      <w:r>
        <w:t>For further details please see the 2023 UBS Sustainability Report and its Supplement document, in particular the section Additional UBS Europe SE Considerations for sustainability and climate management.</w:t>
      </w:r>
    </w:p>
    <w:p>
      <w:r>
        <w:t>Liquidity risk and funding risk are governed and managed as part of the L&amp;F risk management framework and UBS Europe SEs ILAAP.</w:t>
      </w:r>
    </w:p>
    <w:p>
      <w:r>
        <w:t>Thereafter, the Risk Strategy is brought to the attention of and discussed with the Supervisory Board, at least on an annual basis or ad-hoc in case of major changes.</w:t>
      </w:r>
    </w:p>
    <w:p>
      <w:r>
        <w:t>This is achieved by,  Embedding a sound risk culture in the entity, that is supported by appropriate risk governance, risk management and control principles, a comprehensive code of conduct and ethics, and a set of organization regulations.</w:t>
      </w:r>
    </w:p>
    <w:p>
      <w:r>
        <w:t>These risks are managed through ongoing focus and investment in governance processes, risk management, technology, training and controls.</w:t>
      </w:r>
    </w:p>
    <w:p>
      <w:r>
        <w:t>The objectives aim to ensure that the company maintains sufficient capital, liquidity and funding such that it can continue to meet both internal and regulatory requirements and operate as a going concern following severe adverse economic or geopolitical events.</w:t>
      </w:r>
    </w:p>
    <w:p>
      <w:r>
        <w:t>The governance is consistent between the ICAAP and ILAAP framework with clearly defined roles and responsibilities.</w:t>
      </w:r>
    </w:p>
    <w:p>
      <w:r>
        <w:t>The following chapters describe in more detail the scope and nature of the applied risk management objectives and policies for the ICAAP.</w:t>
      </w:r>
    </w:p>
    <w:p>
      <w:r>
        <w:t>Recovery Risk Indicators take into account the existing metrics applied within the firm-wide liquidity, capital and risk management frameworks.</w:t>
      </w:r>
    </w:p>
    <w:p>
      <w:r>
        <w:t>Non-financial risk Non-financial risk is the risk of undue monetary loss andor non-monetary adverse consequences to UBS, its clients or markets, resulting from,  Compliance risk, failure to comply with laws, rules and regulations, internal policies and procedures, and the firms code of conduct and ethics.</w:t>
      </w:r>
    </w:p>
    <w:p>
      <w:r>
        <w:t>Model risk Model risk is mitigated by a comprehensive model governance framework.</w:t>
      </w:r>
    </w:p>
    <w:p>
      <w:r>
        <w:t>UBS Europe SE measures and monitors liquidity risk using a set of internal and regulatory modelsmetrics and tools, which cover different scenarios.</w:t>
      </w:r>
    </w:p>
    <w:p>
      <w:r>
        <w:t>Risk Reporting, systems and control framework Risk management objectives and policies described in previous chapters are linked to the established reporting and control framework.</w:t>
      </w:r>
    </w:p>
    <w:p>
      <w:r>
        <w:t>UBS Europe SE ensures that risks are reported for internal control purposes at a frequency and to a level of detail commensurate with the extent and variability of the risk and needs of senior management.</w:t>
      </w:r>
    </w:p>
    <w:p>
      <w:r>
        <w:t>UBS Europe SEs risk management framework contains a regular and comprehensive reporting landscape to ensure monitoring of adequate liquidity, capital and risk exposure levels.</w:t>
      </w:r>
    </w:p>
    <w:p>
      <w:r>
        <w:t>UBS Europe SEs risk management systems are reviewed by Internal Audit following a risk-based audit approach.</w:t>
      </w:r>
    </w:p>
    <w:p>
      <w:r>
        <w:t>The data management governance applies to internal and regulatory models built and follows the principle to use single data sources for the same information, reconciled data with an audit trail as well as data sourcing process workflows.</w:t>
      </w:r>
    </w:p>
    <w:p>
      <w:r>
        <w:t>Thereby an independent information and ad-hoc risk reporting is possible at any time via the usual communication channels to monitor and escalate any significant risk development.</w:t>
      </w:r>
    </w:p>
    <w:p>
      <w:r>
        <w:t>The following overview presents the most important internal risk reports to monitor UBS Europe SEs risk management process, Daily Summary Report, The report is owned by Regulatory Reporting and distributed to the CFO, CRO and respective functions.</w:t>
      </w:r>
    </w:p>
    <w:p>
      <w:r>
        <w:t>The report is distributed at appropriate intervals but at least quarterly and includes an overview of the audit mandates executed during the quarter and financial year, including the material deficiencies identified, the measures taken to remedy them and the issue remediation status.</w:t>
      </w:r>
    </w:p>
    <w:p>
      <w:r>
        <w:t>Delegated Regulation 2017565 ,the report provides the Compliance view on the adequacy and effectiveness of the applied framework, measures and procedures.</w:t>
      </w:r>
    </w:p>
    <w:p>
      <w:r>
        <w:t>The Report outlines key risks, key developments including activities and key regulatory changes and furthermore key interactions with regulators and audits for each of the Taxonomies under the remit of Compliance.</w:t>
      </w:r>
    </w:p>
    <w:p>
      <w:r>
        <w:t>The report owner and corresponding Head is responsible to escalate any significant risk development andor event to the RCC directly or to the Risk Control function depending on the urgency of the relevant topic.</w:t>
      </w:r>
    </w:p>
    <w:p>
      <w:r>
        <w:t>The risk appetite is operationalized in the risk management process by defining limits and other indicators as well as comprehensive risk appetite objectives.</w:t>
      </w:r>
    </w:p>
    <w:p>
      <w:r>
        <w:t>The risk management processes are in line with the risk profile and strategy of UBS Europe SE.</w:t>
      </w:r>
    </w:p>
    <w:p>
      <w:r>
        <w:t>The Nomination Committee discusses and agrees at least annually all objectives for achieving diversity in the management bodies and recommends relevant adoption.</w:t>
      </w:r>
    </w:p>
    <w:p>
      <w:r>
        <w:t>Gender diversity is a key priority for UBS Europe SE, and we continue to be committed to improve in this area.</w:t>
      </w:r>
    </w:p>
    <w:p>
      <w:r>
        <w:t>Furthermore, UBS Europe SE considers whether the regulatory capital measures specified in the CRR are sufficient given the risk profile of the bank.</w:t>
      </w:r>
    </w:p>
    <w:p>
      <w:r>
        <w:t>EU CCR3 Standardised approach CCR exposures by regulatory exposure class and risk weights1 31.</w:t>
      </w:r>
    </w:p>
    <w:p>
      <w:r>
        <w:t>Risk management and governance IRRBB is measured using a set of metrics, the most relevant of which being,  Interest rate sensitivities to parallel shifts in yield curves, calculated as changes in the present value of future cash flows irrespective of accounting treatment.</w:t>
      </w:r>
    </w:p>
    <w:p>
      <w:r>
        <w:t>This document may contain statements that constitute forward looking statements including but not limited to statements relating to the anticipated effect of transactions described herein and other risks specific to UBSs business, strategic initiatives, future business development and economic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