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E117E2" w14:textId="77777777" w:rsidR="002E3947" w:rsidRDefault="00000000">
      <w:r>
        <w:t>When we do these things well, we make a positive financial and social impact in the communities we serve and show what a global bank can do.</w:t>
      </w:r>
    </w:p>
    <w:p w14:paraId="565DDF50" w14:textId="77777777" w:rsidR="002E3947" w:rsidRDefault="00000000">
      <w:r>
        <w:t>As part of our enterprise-wide Transformation, we have enhanced governance, overhauled our risk management structures, automated processes and controls, and embedded accountability throughout the firm.</w:t>
      </w:r>
    </w:p>
    <w:p w14:paraId="6A4CF254" w14:textId="77777777" w:rsidR="002E3947" w:rsidRDefault="00000000">
      <w:r>
        <w:t>To strengthen accountability and a culture of excellence, we have revamped our scorecards to ensure we are always delivering for clients.</w:t>
      </w:r>
    </w:p>
    <w:p w14:paraId="24F965E5" w14:textId="77777777" w:rsidR="002E3947" w:rsidRDefault="00000000">
      <w:r>
        <w:t>These events led to a meaningful reduction in the third and final tranche of our Transformation bonus program, which was designed to incentivize collective accountability for improving the firms risk management, controls and culture.</w:t>
      </w:r>
    </w:p>
    <w:p w14:paraId="0EC6D2D1" w14:textId="77777777" w:rsidR="002E3947" w:rsidRDefault="00000000">
      <w:r>
        <w:t>Consequently, we have reviewed our entire data program, retooled its governance and increased our investments in technology and talent to ensure we meet our obligations.</w:t>
      </w:r>
    </w:p>
    <w:p w14:paraId="7C92607B" w14:textId="77777777" w:rsidR="002E3947" w:rsidRDefault="00000000">
      <w:r>
        <w:t>Balancing sustainability while ensuring the worlds current energy needs are met requires significant investment and innovation, and Citi is financing the infrastructure and clean energy solutions that will support this transition and the increased energy demand.</w:t>
      </w:r>
    </w:p>
    <w:p w14:paraId="20E33ED1" w14:textId="77777777" w:rsidR="002E3947" w:rsidRDefault="00000000">
      <w:r>
        <w:t>Rolled out generative AI tools for more than 140,000 employees to increase productivity and improve how we serve clients.</w:t>
      </w:r>
    </w:p>
    <w:p w14:paraId="48EDAED8" w14:textId="77777777" w:rsidR="002E3947" w:rsidRDefault="00000000">
      <w:r>
        <w:t>Implemented a more systematic approach to compliance and continued to automate manual controls as part of the Transformation initiative.</w:t>
      </w:r>
    </w:p>
    <w:p w14:paraId="615962EB" w14:textId="77777777" w:rsidR="002E3947" w:rsidRDefault="00000000">
      <w:r>
        <w:t>Strengthened a culture of accountability by implementing firmwide performance and talent management programs.</w:t>
      </w:r>
    </w:p>
    <w:p w14:paraId="3D34B207" w14:textId="77777777" w:rsidR="002E3947" w:rsidRDefault="00000000">
      <w:r>
        <w:t>Citi continued to advance its transformation, including its efforts to improve risk management, modernize technology and infrastructure and improve resiliency across the organization.</w:t>
      </w:r>
    </w:p>
    <w:p w14:paraId="299E9C86" w14:textId="77777777" w:rsidR="002E3947" w:rsidRDefault="00000000">
      <w:r>
        <w:t>Simultaneously, as a result of the July 2024 Civil Money Penalty Consent Orders and Consent Order Amendment, Citi recognized the need to accelerate progress in certain areas, particularly with regard to data quality management related to governance and regulatory reporting.</w:t>
      </w:r>
    </w:p>
    <w:p w14:paraId="44E77C53" w14:textId="77777777" w:rsidR="002E3947" w:rsidRDefault="00000000">
      <w:r>
        <w:t>Citi completed its organizational simplification announced in September 2023, resulting in a simpler management structure that aligns to and facilitates Citis strategy, while improving accountability and decisionmaking and advancing the execution of Citis transformation.</w:t>
      </w:r>
    </w:p>
    <w:p w14:paraId="7F99461A" w14:textId="6DA38620" w:rsidR="002E3947" w:rsidRDefault="00000000">
      <w:r>
        <w:t xml:space="preserve">The decrease was partially offset by higher volume-related expenses, investments in Citis transformation and other risk and controls initiatives, as well as the costs of the July 2024 Civil Money Penalty Consent Orders </w:t>
      </w:r>
      <w:proofErr w:type="gramStart"/>
      <w:r>
        <w:t>entered into</w:t>
      </w:r>
      <w:proofErr w:type="gramEnd"/>
      <w:r>
        <w:t xml:space="preserve"> with the Federal Reserve Board and the Office of the Comptroller of the Currenc</w:t>
      </w:r>
      <w:r w:rsidR="00D35522">
        <w:t>y</w:t>
      </w:r>
      <w:r>
        <w:t>.</w:t>
      </w:r>
    </w:p>
    <w:p w14:paraId="36235E5D" w14:textId="77777777" w:rsidR="002E3947" w:rsidRDefault="00000000">
      <w:r>
        <w:lastRenderedPageBreak/>
        <w:t>For additional information on capital-related risks, trends and uncertainties, see Capital ResourcesRegulatory Capital Standards and Developments and Risk FactorsStrategic Risks, Operational Risks and Compliance Risks below.</w:t>
      </w:r>
    </w:p>
    <w:p w14:paraId="05E7E67D" w14:textId="77777777" w:rsidR="002E3947" w:rsidRDefault="00000000">
      <w:r>
        <w:t>Citis transformation is addressing decades of underinvestment in its infrastructure, going beyond remedying regulatory concerns to intentionally transform how the organization operates, and making investments that not only support current needs, but also benefit the Company over the long term.</w:t>
      </w:r>
    </w:p>
    <w:p w14:paraId="2C81EE93" w14:textId="77777777" w:rsidR="002E3947" w:rsidRDefault="00000000">
      <w:r>
        <w:t>Transformation efforts of this scale involve significant complexities and uncertainties, including ongoing regulatory challenges and risks.</w:t>
      </w:r>
    </w:p>
    <w:p w14:paraId="0FAA5AD7" w14:textId="77777777" w:rsidR="002E3947" w:rsidRDefault="00000000">
      <w:r>
        <w:t>For additional information about the 2024 Consent Orders and the Amendment, see Citis July 10, 2024 Form 8-K and Transformation Focus Areas and Status and FRB and OCC Consent Orders Compliance below.</w:t>
      </w:r>
    </w:p>
    <w:p w14:paraId="156BB0FE" w14:textId="77777777" w:rsidR="002E3947" w:rsidRDefault="00000000">
      <w:r>
        <w:t>Citi may continue to experience significant challenges in progressing the transformation and satisfying the regulators expectations in both sufficiency and timing, particularly with regard to data quality management related to governance and regulatory reporting.</w:t>
      </w:r>
    </w:p>
    <w:p w14:paraId="5F71AD4E" w14:textId="77777777" w:rsidR="002E3947" w:rsidRDefault="00000000">
      <w:r>
        <w:t>Notwithstanding the 2024 Consent Orders and the Amendment, Citis transformation target outcomes remain focused on changing its business and operating models such that they simultaneously, strengthen controls, enhance data quality, reduce risk and improve Citis regulatory compliance and its culture, and, enhance Citis value to customers, clients and shareholders.</w:t>
      </w:r>
    </w:p>
    <w:p w14:paraId="2712698C" w14:textId="77777777" w:rsidR="002E3947" w:rsidRDefault="00000000">
      <w:r>
        <w:t>In particular, Citis transformation-related expenses include costs related to risk and controls, data and finance programs and other 2020 Consent Order programs, as well as spending on certain other regulatory initiatives unrelated to the 2020 Consent Orders, and spending on enterprise-wide technology infrastructure and the Transformation Bonus Program see below.</w:t>
      </w:r>
    </w:p>
    <w:p w14:paraId="0867DC08" w14:textId="77777777" w:rsidR="002E3947" w:rsidRDefault="00000000">
      <w:r>
        <w:t>Citis transformation initiatives in 2025 will continue to focus on, automating regulatory processes and remediating data quality issues, particularly related to regulatory reporting, and, further strengthening stress testing and resolution and recovery capabilities.</w:t>
      </w:r>
    </w:p>
    <w:p w14:paraId="1370CCEA" w14:textId="77777777" w:rsidR="002E3947" w:rsidRDefault="00000000">
      <w:r>
        <w:t>As a result, Citi has made changes to its governance and structure of its data program as well as increased the level of investment in the program.</w:t>
      </w:r>
    </w:p>
    <w:p w14:paraId="6971F4B6" w14:textId="77777777" w:rsidR="002E3947" w:rsidRDefault="00000000">
      <w:r>
        <w:t>The result is a simpler management structure that aligns to and facilitates Citis strategy, while improving accountability and decision-making.</w:t>
      </w:r>
    </w:p>
    <w:p w14:paraId="53C5E3CD" w14:textId="77777777" w:rsidR="002E3947" w:rsidRDefault="00000000">
      <w:r>
        <w:t>Governance Citi has built an organization and infrastructure to manage, guide and support its transformation, which spans all businesses and functions to ensure consistency.</w:t>
      </w:r>
    </w:p>
    <w:p w14:paraId="69C108B6" w14:textId="77777777" w:rsidR="002E3947" w:rsidRDefault="00000000">
      <w:r>
        <w:t xml:space="preserve">Additionally, the Citigroup and Citibank Boards of Directors each formed a Transformation Oversight Committee, an ad hoc committee of each Board, to provide oversight of Citis </w:t>
      </w:r>
      <w:r>
        <w:lastRenderedPageBreak/>
        <w:t>efforts to improve its risk and control environment and managements remediation efforts under the consent orders.</w:t>
      </w:r>
    </w:p>
    <w:p w14:paraId="2D7814C5" w14:textId="77777777" w:rsidR="002E3947" w:rsidRDefault="00000000">
      <w:r>
        <w:t>As part of this effort, Citis CEO has assembled a team consisting of long-tenured employees and new hires from across various disciplines and areas of expertise and experience, along with representatives from each of Citis businesses and functions, to lead the various transformation programs.</w:t>
      </w:r>
    </w:p>
    <w:p w14:paraId="72C19D8F" w14:textId="77777777" w:rsidR="002E3947" w:rsidRDefault="00000000">
      <w:r>
        <w:t>Well-defined goals and related metrics are established for each of the three tranches, which may reflect qualitative considerations, including regulatory actions.</w:t>
      </w:r>
    </w:p>
    <w:p w14:paraId="08C6688B" w14:textId="77777777" w:rsidR="002E3947" w:rsidRDefault="00000000">
      <w:r>
        <w:t>For additional information on capital-related risks, trends and uncertainties, see Regulatory Capital Standards and Developments as well as Risk FactorsStrategic Risks, Operational Risks and Compliance Risks below.</w:t>
      </w:r>
    </w:p>
    <w:p w14:paraId="3EA55E0F" w14:textId="77777777" w:rsidR="002E3947" w:rsidRDefault="00000000">
      <w:r>
        <w:t>Risk-Based Capital Ratios The U.</w:t>
      </w:r>
    </w:p>
    <w:p w14:paraId="69163CD0" w14:textId="77777777" w:rsidR="002E3947" w:rsidRDefault="00000000">
      <w:r>
        <w:t>Basel III rules set forth the composition of regulatory capital including the application of regulatory capital adjustments and deductions, as well as two comprehensive methodologies a Standardized Approach and Advanced Approaches for measuring total risk-weighted assets.</w:t>
      </w:r>
    </w:p>
    <w:p w14:paraId="1527EFD3" w14:textId="77777777" w:rsidR="002E3947" w:rsidRDefault="00000000">
      <w:r>
        <w:t>Basel III rules, Citigroup is required to maintain several regulatory capital buffers above the stated minimum capital requirements to avoid certain limitations on capital distributions and discretionary bonus payments to executive officers.</w:t>
      </w:r>
    </w:p>
    <w:p w14:paraId="38283996" w14:textId="77777777" w:rsidR="002E3947" w:rsidRDefault="00000000">
      <w:r>
        <w:t>Similarly, Citigroups primary subsidiary, Citibank, N.</w:t>
      </w:r>
    </w:p>
    <w:p w14:paraId="7A35F15A" w14:textId="77777777" w:rsidR="002E3947" w:rsidRDefault="00000000">
      <w:r>
        <w:t>Citibank, is required to maintain minimum regulatory capital ratios plus applicable regulatory buffers, as well as hold sufficient capital to be considered well capitalized under the Prompt Corrective Action framework.</w:t>
      </w:r>
    </w:p>
    <w:p w14:paraId="0278FCF0" w14:textId="77777777" w:rsidR="002E3947" w:rsidRDefault="00000000">
      <w:r>
        <w:t>For additional information, see Regulatory Capital Buffers and Prompt Corrective Action Framework below.</w:t>
      </w:r>
    </w:p>
    <w:p w14:paraId="768C4499" w14:textId="77777777" w:rsidR="002E3947" w:rsidRDefault="00000000">
      <w:r>
        <w:t>In conducting the qualitative assessment, the FRB evaluates firms capital planning practices, focusing on six areas of capital planning, governance, risk management, internal controls, capital policies, incorporating stressful conditions and events, and estimating impact on capital positions.</w:t>
      </w:r>
    </w:p>
    <w:p w14:paraId="7E309160" w14:textId="77777777" w:rsidR="002E3947" w:rsidRDefault="00000000">
      <w:r>
        <w:t>Both CCAR and DFAST include an estimate of projected revenues, losses, reserves, pro forma regulatory capital ratios and any other additional capital measures deemed relevant by Citi.</w:t>
      </w:r>
    </w:p>
    <w:p w14:paraId="284600F2" w14:textId="77777777" w:rsidR="002E3947" w:rsidRDefault="00000000">
      <w:r>
        <w:t>The total amount of eligible credit reserves in excess of expected credit losses that were eligible for inclusion in Tier 2 Capital, subject to limitation, under the Advanced Approaches framework were $5.</w:t>
      </w:r>
    </w:p>
    <w:p w14:paraId="209EFB23" w14:textId="77777777" w:rsidR="002E3947" w:rsidRDefault="00000000">
      <w:r>
        <w:lastRenderedPageBreak/>
        <w:t>Citigroups other principal broker-dealer subsidiaries were in compliance with their regulatory capital requirements at December 31, 2024.</w:t>
      </w:r>
    </w:p>
    <w:p w14:paraId="0E154289" w14:textId="77777777" w:rsidR="002E3947" w:rsidRDefault="00000000">
      <w:r>
        <w:t>Citi continues to monitor developments related to this rulemaking, including as a result of new leadership at the U.</w:t>
      </w:r>
    </w:p>
    <w:p w14:paraId="60A64CEC" w14:textId="77777777" w:rsidR="002E3947" w:rsidRDefault="00000000">
      <w:r>
        <w:t>If finalized as proposed, the capital proposal would materially increase Citis required regulatory capital.</w:t>
      </w:r>
    </w:p>
    <w:p w14:paraId="66E1DAB1" w14:textId="77777777" w:rsidR="002E3947" w:rsidRDefault="00000000">
      <w:r>
        <w:t>For information about risks related to changes in regulatory capital requirements, see Risk FactorsStrategic Risks, Operational Risks and Compliance Risks below.</w:t>
      </w:r>
    </w:p>
    <w:p w14:paraId="018F93CB" w14:textId="77777777" w:rsidR="002E3947" w:rsidRDefault="00000000">
      <w:r>
        <w:t>Citis ability to return capital to its common shareholders consistent with its capital planning efforts and targets, whether through its common stock dividend or through share repurchases, substantially depends, among other things, on its regulatory capital requirements, including the annual recalibration of the Stress Capital Buffer , which is based upon the results of the CCAR process required by the FRB, and recalibration of the GSIB surcharge, as well as the supervisory expectations and assessments regarding individual institutions.</w:t>
      </w:r>
    </w:p>
    <w:p w14:paraId="7C257DE7" w14:textId="77777777" w:rsidR="002E3947" w:rsidRDefault="00000000">
      <w:r>
        <w:t>Accordingly, Citis SCB may go up, based on the supervisory stress test results, thus potentially resulting in an increase in Citis required regulatory CET1 Capital ratio under the 50 Standardized Approach.</w:t>
      </w:r>
    </w:p>
    <w:p w14:paraId="455BF8BC" w14:textId="77777777" w:rsidR="002E3947" w:rsidRDefault="00000000">
      <w:r>
        <w:t>Moreover, changes in regulatory capital rules, requirements or interpretations could materially increase Citis required regulatory capital.</w:t>
      </w:r>
    </w:p>
    <w:p w14:paraId="7461686B" w14:textId="77777777" w:rsidR="002E3947" w:rsidRDefault="00000000">
      <w:r>
        <w:t xml:space="preserve">Banking regulators proposed </w:t>
      </w:r>
      <w:proofErr w:type="gramStart"/>
      <w:r>
        <w:t>a number of</w:t>
      </w:r>
      <w:proofErr w:type="gramEnd"/>
      <w:r>
        <w:t xml:space="preserve"> changes to the U.</w:t>
      </w:r>
    </w:p>
    <w:p w14:paraId="57EFB98B" w14:textId="77777777" w:rsidR="002E3947" w:rsidRDefault="00000000">
      <w:r>
        <w:t>Regulatory capital framework, including, but not limited to, significant revisions to the U.</w:t>
      </w:r>
    </w:p>
    <w:p w14:paraId="22AE0042" w14:textId="77777777" w:rsidR="002E3947" w:rsidRDefault="00000000">
      <w:r>
        <w:t>These potential changes, if adopted as originally proposed, would likely impact Citis regulatory capital position and materially increase Citis regulatory capital requirements, and thus adversely impact the extent to which Citi is able to return capital to shareholders see Capital ResourcesRegulatory Capital Standards and Developments above.</w:t>
      </w:r>
    </w:p>
    <w:p w14:paraId="084CB9FF" w14:textId="77777777" w:rsidR="002E3947" w:rsidRDefault="00000000">
      <w:r>
        <w:t>Citis effectiveness in planning, managing and calculating its level of regulatory capital and risk-weighted assets under both the Advanced Approaches and the Standardized Approach, as well as the Supplementary Leverage ratio .</w:t>
      </w:r>
    </w:p>
    <w:p w14:paraId="02883333" w14:textId="77777777" w:rsidR="002E3947" w:rsidRDefault="00000000">
      <w:r>
        <w:t>All firms subject to CCAR requirements, including Citi, will continue to be subject to a rigorous regulatory evaluation of capital planning practices and other reviews and examinations, including, but not limited to data quality, which is a key regulatory focus, governance, risk management and internal controls.</w:t>
      </w:r>
    </w:p>
    <w:p w14:paraId="3E20CA8C" w14:textId="77777777" w:rsidR="002E3947" w:rsidRDefault="00000000">
      <w:r>
        <w:t xml:space="preserve">For information on limitations on Citis ability to return capital to common shareholders, as well as the CCAR process, supervisory stress test requirements and GSIB surcharge, see </w:t>
      </w:r>
      <w:r>
        <w:lastRenderedPageBreak/>
        <w:t>Capital ResourcesOverview and Capital ResourcesStress Testing Component of Capital Planning above and the risk management and legal and regulatory proceedings risk factors below.</w:t>
      </w:r>
    </w:p>
    <w:p w14:paraId="0B073E59" w14:textId="77777777" w:rsidR="002E3947" w:rsidRDefault="00000000">
      <w:r>
        <w:t>Although various uncertainties exist regarding the extent of, and the ultimate impact to Citi from, changes to regulatory capital, results from the FRBs stress testing and CCAR regimes, and regulatory evaluation or examination findings, these changes could increase the level of capital Citi is required or elects to hold, including as part of Citis management buffer, thus potentially adversely impacting the extent to which Citi is able to return capital to shareholders.</w:t>
      </w:r>
    </w:p>
    <w:p w14:paraId="2FEF8C83" w14:textId="77777777" w:rsidR="002E3947" w:rsidRDefault="00000000">
      <w:r>
        <w:t>While the ongoing regulatory and legislative uncertainties and changes facing Citi are too numerous to list completely, examples include, but are not limited to, potential changes to various aspects of the U.</w:t>
      </w:r>
    </w:p>
    <w:p w14:paraId="13EE4F90" w14:textId="77777777" w:rsidR="002E3947" w:rsidRDefault="00000000">
      <w:r>
        <w:t>Regulatory capital framework and requirements applicable to Citi, including, among others, significant revisions to the U.</w:t>
      </w:r>
    </w:p>
    <w:p w14:paraId="386F1636" w14:textId="77777777" w:rsidR="002E3947" w:rsidRDefault="00000000">
      <w:r>
        <w:t>Basel III rules see the capital return risk factor and Capital ResourcesRegulatory Capital Standards and Developments above and, potential fiscal, monetary, tax, sanctions, human capital and other changes promulgated by the U.</w:t>
      </w:r>
    </w:p>
    <w:p w14:paraId="18B3F9B9" w14:textId="77777777" w:rsidR="002E3947" w:rsidRDefault="00000000">
      <w:r>
        <w:t>Federal government and other governments see the macroeconomic and geopolitical risk factor above and the ability to utilize DTAs risk factor below.</w:t>
      </w:r>
    </w:p>
    <w:p w14:paraId="4B7FFB75" w14:textId="77777777" w:rsidR="002E3947" w:rsidRDefault="00000000">
      <w:r>
        <w:t>And international regulatory and legislative initiatives have not always been undertaken or implemented on a coordinated basis, and areas of divergence have developed and continue to develop with respect to their scope, interpretation, timing, structure or approach, leading to inconsistent or even conflicting requirements, including within a single jurisdiction.</w:t>
      </w:r>
    </w:p>
    <w:p w14:paraId="07DE9BC3" w14:textId="77777777" w:rsidR="002E3947" w:rsidRDefault="00000000">
      <w:r>
        <w:t>And other regulators globally have implemented and continue to discuss various changes to certain regulatory requirements, which would require ongoing assessment by management as to the impact to Citi, its businesses and business planning.</w:t>
      </w:r>
    </w:p>
    <w:p w14:paraId="020A3CAB" w14:textId="77777777" w:rsidR="002E3947" w:rsidRDefault="00000000">
      <w:r>
        <w:t>Regulatory and legislative changes have also significantly increased Citis compliance risks and costs see the implementation and interpretation of regulatory changes risk factor below and can adversely affect Citis competitive position, as well as its businesses, revenues, results of operations and financial condition.</w:t>
      </w:r>
    </w:p>
    <w:p w14:paraId="5DC621C5" w14:textId="77777777" w:rsidR="002E3947" w:rsidRDefault="00000000">
      <w:r>
        <w:t>As part of its multiyear transformation, Citi continues to make significant investments and undertake substantial actions across the Company to improve its risk and controls environment, modernize its data and technology infrastructure and further enhance safety and soundness see Executive Summary and Citis Multiyear Transformation above and the legal and regulatory proceedings risk factor below.</w:t>
      </w:r>
    </w:p>
    <w:p w14:paraId="150A5E82" w14:textId="77777777" w:rsidR="002E3947" w:rsidRDefault="00000000">
      <w:r>
        <w:t xml:space="preserve">These simplification initiatives involve various execution challenges, may take longer than expected and may result in higher than expected expenses, CTA and other losses or other </w:t>
      </w:r>
      <w:r>
        <w:lastRenderedPageBreak/>
        <w:t>negative financial or strategic impacts, which could be material, and litigation and regulatory scrutiny for information about potential CTA impacts, see the capital return risk factor above and the incorrect assumptions or estimates and emerging markets risk factors below.</w:t>
      </w:r>
    </w:p>
    <w:p w14:paraId="49D866D6" w14:textId="77777777" w:rsidR="002E3947" w:rsidRDefault="00000000">
      <w:r>
        <w:t>Conversely, failure to adequately invest in and upgrade Citis technology and processes or properly implement its enterprise-wide simplification could result in Citis inability to meet regulatory expectations, be sufficiently competitive, serve clients effectively and avoid disruptions to its businesses and operational errors see the operational processes and systems and legal and regulatory proceedings risk factors below.</w:t>
      </w:r>
    </w:p>
    <w:p w14:paraId="0DEDEFC5" w14:textId="77777777" w:rsidR="002E3947" w:rsidRDefault="00000000">
      <w:r>
        <w:t>Moreover, Citis transformation, simplification and other priorities may continue to evolve as its business strategies, the market environment and regulatory expectations change, which could make the initiatives more costly and more challenging to implement, and limit their effectiveness.</w:t>
      </w:r>
    </w:p>
    <w:p w14:paraId="7C140BBD" w14:textId="77777777" w:rsidR="002E3947" w:rsidRDefault="00000000">
      <w:r>
        <w:t>Climate change presents both immediate and long-term risks to Citi and its customers and clients, with the risks expected to increase over time.</w:t>
      </w:r>
    </w:p>
    <w:p w14:paraId="28135430" w14:textId="77777777" w:rsidR="002E3947" w:rsidRDefault="00000000">
      <w:r>
        <w:t>Transition risks also include potential increased operational, compliance and energy costs driven by government policies to promote decarbonization.</w:t>
      </w:r>
    </w:p>
    <w:p w14:paraId="089178F4" w14:textId="77777777" w:rsidR="002E3947" w:rsidRDefault="00000000">
      <w:r>
        <w:t>In addition, Citi could face increased regulatory scrutiny and reputation and litigation risks as a result of its climate risk, sustainability and other environmental and social commitments, disclosures, marketing and positioning.</w:t>
      </w:r>
    </w:p>
    <w:p w14:paraId="4FD9CF01" w14:textId="77777777" w:rsidR="002E3947" w:rsidRDefault="00000000">
      <w:r>
        <w:t>For example, any actual or perceived overstatement of the environmental benefits of Citis actions may result in legal or regulatory actions andor reputational harm.</w:t>
      </w:r>
    </w:p>
    <w:p w14:paraId="71E73333" w14:textId="77777777" w:rsidR="002E3947" w:rsidRDefault="00000000">
      <w:r>
        <w:t>Additionally, if Citi is unable to achieve its objectives or commitments relating to climate change, its businesses, reputation, attractiveness to certain investors and efforts to recruit and retain employees may suffer.</w:t>
      </w:r>
    </w:p>
    <w:p w14:paraId="4DA42390" w14:textId="77777777" w:rsidR="002E3947" w:rsidRDefault="00000000">
      <w:r>
        <w:t>For example, Citis approach to supporting client decarbonization in a gradual and orderly way, while promoting energy security, may lead to both continued exposure to carbon-intensive activity and increased reputation risks from stakeholders with divergent points of view.</w:t>
      </w:r>
    </w:p>
    <w:p w14:paraId="2CF524B4" w14:textId="77777777" w:rsidR="002E3947" w:rsidRDefault="00000000">
      <w:r>
        <w:t>Citi may also face challenges and scrutiny from stakeholders with varied views on climate change that may impact its ability to conduct certain business.</w:t>
      </w:r>
    </w:p>
    <w:p w14:paraId="538DDB9D" w14:textId="77777777" w:rsidR="002E3947" w:rsidRDefault="00000000">
      <w:r>
        <w:t>For information on Citis climate and other sustainability initiatives, see Net Zero and Sustainability below.</w:t>
      </w:r>
    </w:p>
    <w:p w14:paraId="1B588C26" w14:textId="77777777" w:rsidR="002E3947" w:rsidRDefault="00000000">
      <w:r>
        <w:t>Corporate tax rates could result in an increase in Citis DTAs, which may subject more of Citis DTAs to exclusion from regulatory capital.</w:t>
      </w:r>
    </w:p>
    <w:p w14:paraId="2F054853" w14:textId="77777777" w:rsidR="002E3947" w:rsidRDefault="00000000">
      <w:r>
        <w:lastRenderedPageBreak/>
        <w:t>Administration has discussed potential reductions to the U.</w:t>
      </w:r>
    </w:p>
    <w:p w14:paraId="3CB9D821" w14:textId="77777777" w:rsidR="002E3947" w:rsidRDefault="00000000">
      <w:r>
        <w:t>Approach to the Organization for Economic Cooperation and Development Pillar 2 framework.</w:t>
      </w:r>
    </w:p>
    <w:p w14:paraId="40A53524" w14:textId="77777777" w:rsidR="002E3947" w:rsidRDefault="00000000">
      <w:r>
        <w:t>Citi is 53 closely monitoring developments relating to the Pillar 2 negotiations to determine their potential impact.</w:t>
      </w:r>
    </w:p>
    <w:p w14:paraId="1CF4870A" w14:textId="77777777" w:rsidR="002E3947" w:rsidRDefault="00000000">
      <w:r>
        <w:t>The shortcoming related to data integrity and 54 data quality management issues, specifically, weaknesses in Citis processes and practices for producing certain data that could materially impact its resolution capabilities.</w:t>
      </w:r>
    </w:p>
    <w:p w14:paraId="6BED3FC1" w14:textId="77777777" w:rsidR="002E3947" w:rsidRDefault="00000000">
      <w:r>
        <w:t>More generally, data continues to be a subject of regulatory focus, and Citi continues to work on enhancing its data availability and quality see Citis Multiyear Transformation above and the legal and regulatory proceedings risk factor below.</w:t>
      </w:r>
    </w:p>
    <w:p w14:paraId="07B3C701" w14:textId="77777777" w:rsidR="002E3947" w:rsidRDefault="00000000">
      <w:r>
        <w:t>Citis performance and the performance of its individual businesses largely depend on the talents and efforts of its diverse and highly qualified employees.</w:t>
      </w:r>
    </w:p>
    <w:p w14:paraId="16E61675" w14:textId="77777777" w:rsidR="002E3947" w:rsidRDefault="00000000">
      <w:r>
        <w:t>Specifically, Citis continued ability to compete in each of its lines of business, to manage its businesses effectively and to execute its transformation, simplification and other priorities, including, for example, hiring employees to grow businesses or hiring employees to support Citis priorities, depends on its ability to hire new employees and to retain and motivate its existing employees.</w:t>
      </w:r>
    </w:p>
    <w:p w14:paraId="13F8369C" w14:textId="77777777" w:rsidR="002E3947" w:rsidRDefault="00000000">
      <w:r>
        <w:t>Other factors that could impact Citis ability to attract, retain and motivate employees include, among other things, Citis presence in a particular market or region, the professional and development opportunities it offers, its reputation and its diversity.</w:t>
      </w:r>
    </w:p>
    <w:p w14:paraId="3453C9AD" w14:textId="77777777" w:rsidR="002E3947" w:rsidRDefault="00000000">
      <w:r>
        <w:t>Administration has stated its support for the growth and use of digital assets and 55 blockchain technology, including a more favorable regulatory approach to crypto assets.</w:t>
      </w:r>
    </w:p>
    <w:p w14:paraId="0D6CC4DF" w14:textId="77777777" w:rsidR="002E3947" w:rsidRDefault="00000000">
      <w:r>
        <w:t>Citi may not be able to provide the same or similar products and services for legal or regulatory reasons, which may be exacerbated by rapidly evolving and conflicting regulatory requirements, as well as increased compliance and other risks.</w:t>
      </w:r>
    </w:p>
    <w:p w14:paraId="20C95C61" w14:textId="77777777" w:rsidR="002E3947" w:rsidRDefault="00000000">
      <w:r>
        <w:t>For example, the use or development of emerging technologies, such as AI or digital assets, without sufficient controls, governance and risk management may result in increased risks across various risk categories for additional information, see the operational processes and systems risk factor below.</w:t>
      </w:r>
    </w:p>
    <w:p w14:paraId="67E9C602" w14:textId="77777777" w:rsidR="002E3947" w:rsidRDefault="00000000">
      <w:r>
        <w:t>As another example, instant and 247 payments products could be accompanied by challenges to forecasting and managing liquidity, as well as increased operational and compliance risks.</w:t>
      </w:r>
    </w:p>
    <w:p w14:paraId="0E5E3397" w14:textId="77777777" w:rsidR="002E3947" w:rsidRDefault="00000000">
      <w:r>
        <w:t xml:space="preserve">Also, Citis businesses, results of operations and reputation may suffer if any third party is unable to provide adequate support for such product and service offerings, whether due to </w:t>
      </w:r>
      <w:r>
        <w:lastRenderedPageBreak/>
        <w:t>operational incidents or otherwise see the operational processes and systems, cybersecurity and emerging markets risk factors below.</w:t>
      </w:r>
    </w:p>
    <w:p w14:paraId="4EEDDACE" w14:textId="77777777" w:rsidR="002E3947" w:rsidRDefault="00000000">
      <w:r>
        <w:t>Generative AI tools are available to employees within parts of the Company, and in the future Citi may more broadly use, develop and incorporate Generative AI within its technology platform and services, systems and its businesses and functions.</w:t>
      </w:r>
    </w:p>
    <w:p w14:paraId="15EFFE75" w14:textId="77777777" w:rsidR="002E3947" w:rsidRDefault="00000000">
      <w:r>
        <w:t>While Citi has policies which govern the use of emerging technologies, ineffective, inadequate or faulty Generative AI development or deployment practices by Citi or third parties could result in unintended consequences, such as AI algorithms that produce inaccurate or incomplete output or output based on biased, incomplete andor inaccurate datasets, or cause other issues, concerns or deficiencies.</w:t>
      </w:r>
    </w:p>
    <w:p w14:paraId="33019E61" w14:textId="77777777" w:rsidR="002E3947" w:rsidRDefault="00000000">
      <w:r>
        <w:t>Moreover, the use of increasingly sophisticated AI technologies by malicious actors and others has increased the risk of fraud, including identity theft and bypassing of verification controls, and failure to effectively manage such risks could result in misappropriation of funds, unauthorized transactions, exposure of sensitive client or Company information, reputational harm and increased litigation and regulatory risk.</w:t>
      </w:r>
    </w:p>
    <w:p w14:paraId="6025BAD7" w14:textId="77777777" w:rsidR="002E3947" w:rsidRDefault="00000000">
      <w:r>
        <w:t>Failure by Citi to develop, implement and operate a third-party risk management program commensurate with the level of risk, complexity and nature of its third-party relationships can also result in operational incidents.</w:t>
      </w:r>
    </w:p>
    <w:p w14:paraId="227DAE83" w14:textId="77777777" w:rsidR="002E3947" w:rsidRDefault="00000000">
      <w:r>
        <w:t>Citis and Third Parties Computer Systems and Networks Will Continue to Be Susceptible to an Increasing Risk of Continually Evolving, Sophisticated Cybersecurity Incidents That Could Result in the Theft, Loss, Non-Availability, Misuse or Disclosure of Confidential Client or Customer Information, Damage to Citis Reputation, Additional Costs to Citi, Regulatory Penalties, Legal Exposure and Financial Losses.</w:t>
      </w:r>
    </w:p>
    <w:p w14:paraId="4A9C9A5A" w14:textId="77777777" w:rsidR="002E3947" w:rsidRDefault="00000000">
      <w:r>
        <w:t>These threats can arise from external parties, including cyber criminals, cyber terrorists, hacktivists individuals or groups using cyberattacks to promote a political or social agenda and nation-state actors, as well as insiders who knowingly or unknowingly engage in or enable malicious cyber activities.</w:t>
      </w:r>
    </w:p>
    <w:p w14:paraId="74DA4276" w14:textId="77777777" w:rsidR="002E3947" w:rsidRDefault="00000000">
      <w:r>
        <w:t>The increasing use of mobile and other digital banking platforms and services, cloud technologies, new and emerging technologies such as AI and connectivity solutions to facilitate remote working for Citis employees all increase Citis exposure to cybersecurity risks.</w:t>
      </w:r>
    </w:p>
    <w:p w14:paraId="7434ABEA" w14:textId="77777777" w:rsidR="002E3947" w:rsidRDefault="00000000">
      <w:r>
        <w:t>Moreover, the increasing risk of cyber incidents has resulted in increased legislative and regulatory action on cybersecurity, including, among other things, scrutiny of firms cybersecurity protection processes and services, laws and regulations to enhance protection of consumers personal data and mandated disclosure on cybersecurity matters.</w:t>
      </w:r>
    </w:p>
    <w:p w14:paraId="23B42460" w14:textId="77777777" w:rsidR="002E3947" w:rsidRDefault="00000000">
      <w:r>
        <w:t xml:space="preserve">Citi could incur significant losses, receive negative regulatory evaluation or examination findings or be subject to additional enforcement actions, and its regulatory capital, capital </w:t>
      </w:r>
      <w:r>
        <w:lastRenderedPageBreak/>
        <w:t>ratios and ability to return capital could be negatively impacted, if Citis risk management and other processes, including its ability to manage and aggregate data in a timely and accurate manner, strategies or models are deficient or ineffective.</w:t>
      </w:r>
    </w:p>
    <w:p w14:paraId="50E42DCC" w14:textId="77777777" w:rsidR="002E3947" w:rsidRDefault="00000000">
      <w:r>
        <w:t>Modifications or requirements resulting from these ongoing reviews, as well as any future changes or guidance provided by the U.</w:t>
      </w:r>
    </w:p>
    <w:p w14:paraId="780B4681" w14:textId="77777777" w:rsidR="002E3947" w:rsidRDefault="00000000">
      <w:r>
        <w:t>Regulatory capital framework applicable to Citi, including, but not limited to, potential revisions to the U.</w:t>
      </w:r>
    </w:p>
    <w:p w14:paraId="639CC8AF" w14:textId="77777777" w:rsidR="002E3947" w:rsidRDefault="00000000">
      <w:r>
        <w:t>Basel III rules see the capital return risk factor and Capital ResourcesRegulatory Capital Standards and Developments above, have resulted, and could continue to result, in significant changes to Citis risk-weighted assets.</w:t>
      </w:r>
    </w:p>
    <w:p w14:paraId="10CBCB27" w14:textId="77777777" w:rsidR="002E3947" w:rsidRDefault="00000000">
      <w:r>
        <w:t>Large financial institutions, such as Citi, face significantly heightened regulatory and supervisory expectations and scrutiny in the U.</w:t>
      </w:r>
    </w:p>
    <w:p w14:paraId="753D4805" w14:textId="77777777" w:rsidR="002E3947" w:rsidRDefault="00000000">
      <w:r>
        <w:t>And globally, including with respect to, among other things, governance, infrastructure, data and risk management practices and controls.</w:t>
      </w:r>
    </w:p>
    <w:p w14:paraId="4B00D224" w14:textId="77777777" w:rsidR="002E3947" w:rsidRDefault="00000000">
      <w:r>
        <w:t>These regulatory and supervisory expectations extend to employees and agents and also include, among other things, those related to customer and client protection, market practices, anti-money laundering, increasingly complex sanctions and disclosure regimes and various regulatory reporting requirements.</w:t>
      </w:r>
    </w:p>
    <w:p w14:paraId="798A7F53" w14:textId="77777777" w:rsidR="002E3947" w:rsidRDefault="00000000">
      <w:r>
        <w:t>In addition, Citi is continually required to interpret and implement extensive and frequently changing regulatory and legislative requirements in the U.</w:t>
      </w:r>
    </w:p>
    <w:p w14:paraId="51438199" w14:textId="77777777" w:rsidR="002E3947" w:rsidRDefault="00000000">
      <w:r>
        <w:t>And other jurisdictions in which it does business, which may overlap or conflict across jurisdictions, resulting in substantial compliance, regulatory and other risks and costs.</w:t>
      </w:r>
    </w:p>
    <w:p w14:paraId="25CF9A62" w14:textId="77777777" w:rsidR="002E3947" w:rsidRDefault="00000000">
      <w:r>
        <w:t>A failure to comply with these expectations and requirements, even if inadvertent, or resolve any identified deficiencies in a timely and sufficiently satisfactory manner to regulators, could result in increased regulatory oversight.</w:t>
      </w:r>
    </w:p>
    <w:p w14:paraId="2862663D" w14:textId="77777777" w:rsidR="002E3947" w:rsidRDefault="00000000">
      <w:r>
        <w:t>Moreover, over the past several years, Citi has been required to implement a large number of regulatory, supervisory and legislative changes, including new regulatory, supervisory or legislative requirements or regimes, across its businesses and functions, and these changes continue.</w:t>
      </w:r>
    </w:p>
    <w:p w14:paraId="61F8F452" w14:textId="77777777" w:rsidR="002E3947" w:rsidRDefault="00000000">
      <w:r>
        <w:t>Examples of regulatory or legislative changes that have resulted in increased compliance risks and costs include, the U.</w:t>
      </w:r>
    </w:p>
    <w:p w14:paraId="26C1D68A" w14:textId="77777777" w:rsidR="002E3947" w:rsidRDefault="00000000">
      <w:r>
        <w:t>Regulatory capital framework and requirements, which have continued to evolve see the capital return risk factor and Capital Resources above.</w:t>
      </w:r>
    </w:p>
    <w:p w14:paraId="7550436C" w14:textId="77777777" w:rsidR="002E3947" w:rsidRDefault="00000000">
      <w:r>
        <w:t>Additionally, Citi remains subject to governmental and regulatory investigations, consent orders see discussion below and related compliance efforts, and other inquiries.</w:t>
      </w:r>
    </w:p>
    <w:p w14:paraId="23377787" w14:textId="77777777" w:rsidR="002E3947" w:rsidRDefault="00000000">
      <w:r>
        <w:lastRenderedPageBreak/>
        <w:t>These improvements will result in continued significant investments by Citi during 2025 and beyond, as an essential part of Citis broader transformation efforts to enhance its risk, controls, data and finance infrastructure and compliance see the transformation, simplification and other priorities-related risk factor above.</w:t>
      </w:r>
    </w:p>
    <w:p w14:paraId="21F14219" w14:textId="77777777" w:rsidR="002E3947" w:rsidRDefault="00000000">
      <w:r>
        <w:t>More generally, the OCC andor the FRB could again take enforcement or other actions if the regulatory agency believes that Citi has not met regulatory expectations regarding compliance with the consent orders.</w:t>
      </w:r>
    </w:p>
    <w:p w14:paraId="3F817A92" w14:textId="77777777" w:rsidR="002E3947" w:rsidRDefault="00000000">
      <w:r>
        <w:t>Regulators have been increasingly focused on the culture of financial services firms, including Citi, as well as conduct risk, a term used to describe the risks associated with behavior by employees and agents, including third parties, that could harm clients, customers, employees or the integrity of the markets, such as improperly creating, selling, marketing or managing products and services or improper incentive compensation programs with respect thereto, failures to safeguard a partys personal information or failures to identify and manage conflicts of interest.</w:t>
      </w:r>
    </w:p>
    <w:p w14:paraId="6548036F" w14:textId="77777777" w:rsidR="002E3947" w:rsidRDefault="00000000">
      <w:r>
        <w:t>In addition to the greater focus on conduct risk, the general heightened scrutiny and expectations from regulators could lead to investigations and other inquiries, as well as remediation requirements, regulatory restrictions, structural changes, more regulatory or other enforcement proceedings, civil litigation and higher compliance and other risks and costs.</w:t>
      </w:r>
    </w:p>
    <w:p w14:paraId="16B8B5B5" w14:textId="77777777" w:rsidR="002E3947" w:rsidRDefault="00000000">
      <w:r>
        <w:t>Additionally, many large claimsboth private civil and regulatoryasserted against Citi are highly complex, slow to develop and may involve novel or untested legal theories.</w:t>
      </w:r>
    </w:p>
    <w:p w14:paraId="471FA84F" w14:textId="77777777" w:rsidR="002E3947" w:rsidRDefault="00000000">
      <w:r>
        <w:t>Net Zero Emissions by 2050 As previously disclosed, Citi has committed to achieving net zero greenhouse gas emissions associated with its financing by 2050, and net zero GHG emissions for its own operations by 2030.</w:t>
      </w:r>
    </w:p>
    <w:p w14:paraId="2488CA73" w14:textId="77777777" w:rsidR="002E3947" w:rsidRDefault="00000000">
      <w:r>
        <w:t>Engagement Strategy, Solicit feedback from clients, investors and other stakeholders as this work continues to evolve.</w:t>
      </w:r>
    </w:p>
    <w:p w14:paraId="2ECB58E6" w14:textId="77777777" w:rsidR="002E3947" w:rsidRDefault="00000000">
      <w:r>
        <w:t>Metrics and Targets, Calculate financed emissions metrics for each applicable carbon-intensive sector and report on progress for emissions reductions targets for 2030 and beyond.</w:t>
      </w:r>
    </w:p>
    <w:p w14:paraId="4A1E2F18" w14:textId="77777777" w:rsidR="002E3947" w:rsidRDefault="00000000">
      <w:r>
        <w:t>Progress on Citis Net Zero Financing Commitment, Citi has published interim 2030 emissions targets for 10 loan portfolios, aluminum, auto manufacturing, aviation, cement, commercial real estate North America, energy, power, shipping, steel and thermal coal mining.</w:t>
      </w:r>
    </w:p>
    <w:p w14:paraId="030186C3" w14:textId="77777777" w:rsidR="002E3947" w:rsidRDefault="00000000">
      <w:r>
        <w:t>Three of these targets auto manufacturing, energy and power include facilitated emissions from capital markets activities as well.</w:t>
      </w:r>
    </w:p>
    <w:p w14:paraId="6C9B8E8D" w14:textId="77777777" w:rsidR="002E3947" w:rsidRDefault="00000000">
      <w:r>
        <w:t xml:space="preserve">Sustainable Operations In addition to the 2030 net zero GHG emissions commitment for its own operations, Citi measures progress against operational footprint goals, which include </w:t>
      </w:r>
      <w:r>
        <w:lastRenderedPageBreak/>
        <w:t>efforts to reduce the environmental impact of its facilities through reductions in emissions, energy usage, water consumption and waste generation.</w:t>
      </w:r>
    </w:p>
    <w:p w14:paraId="26B89B68" w14:textId="77777777" w:rsidR="002E3947" w:rsidRDefault="00000000">
      <w:r>
        <w:t>In 2024, Citi made progress toward these goals by increasing on-site solar generation, promoting initiatives on waste diversion and recycling, and employing more carbonefficient techniques for building renovations.</w:t>
      </w:r>
    </w:p>
    <w:p w14:paraId="132EA9A5" w14:textId="77777777" w:rsidR="002E3947" w:rsidRDefault="00000000">
      <w:r>
        <w:t>For additional information on Citis environmental and social policies and priorities, click on Our Impact on Citis website at For information on Citis environmental and social governance, see Citis 2025 Annual Meeting Proxy Statement to be filed with the SEC in March 2025.</w:t>
      </w:r>
    </w:p>
    <w:p w14:paraId="002ECFA6" w14:textId="77777777" w:rsidR="002E3947" w:rsidRDefault="00000000">
      <w:r>
        <w:t>Citi seeks to enhance the competitive strength of its workforce through the following efforts, Continuously innovating its efforts to recruit, train, develop, compensate, promote and engage employees Actively seeking and listening to diverse perspectives at all levels of the organization Providing compensation programs that are competitive in the market and aligned to strategic objectives Workforce Size and Distribution As of December 31, 2024, Citi employed approximately 229,000 people in over 90 countries.</w:t>
      </w:r>
    </w:p>
    <w:p w14:paraId="1EE0C955" w14:textId="77777777" w:rsidR="002E3947" w:rsidRDefault="00000000">
      <w:r>
        <w:t>Driving a Culture of Excellence and Accountability Citis talent and culture initiatives focus on fostering a culture of excellence and accountability that is supported by strong risk and controls management.</w:t>
      </w:r>
    </w:p>
    <w:p w14:paraId="309873EF" w14:textId="77777777" w:rsidR="002E3947" w:rsidRDefault="00000000">
      <w:r>
        <w:t>Citis performance management approach emphasizes the Leadership Principles through a four-pillar system, evaluating what employees deliver against financial, risk and controls, and client and franchise goals, as well as how employees deliver from a leadership perspective.</w:t>
      </w:r>
    </w:p>
    <w:p w14:paraId="63A46692" w14:textId="77777777" w:rsidR="002E3947" w:rsidRDefault="00000000">
      <w:r>
        <w:t>The performance management and incentive compensation processes, policies and frameworks promote accountability and consistency, in particular for risk and controls.</w:t>
      </w:r>
    </w:p>
    <w:p w14:paraId="34FFEB92" w14:textId="77777777" w:rsidR="002E3947" w:rsidRDefault="00000000">
      <w:r>
        <w:t>Workforce Development Citis numerous programmatic offerings aim to reinforce its culture and values, foster understanding of compliance requirements and develop competencies required to deliver excellence to its clients.</w:t>
      </w:r>
    </w:p>
    <w:p w14:paraId="58FD1588" w14:textId="77777777" w:rsidR="002E3947" w:rsidRDefault="00000000">
      <w:r>
        <w:t>Citi encourages career growth and development by offering broad and diverse opportunities to employees, including the following, Providing a range of internal development and rotational programs to employees at all levels, including an extensive leadership curriculum, allowing the opportunity to build the skills needed to transition to supervisory and managerial roles.</w:t>
      </w:r>
    </w:p>
    <w:p w14:paraId="002FE5EA" w14:textId="77777777" w:rsidR="002E3947" w:rsidRDefault="00000000">
      <w:r>
        <w:t>Citis tuition assistance program further enables employees in North America to pursue their educational goals.</w:t>
      </w:r>
    </w:p>
    <w:p w14:paraId="4893FDE0" w14:textId="77777777" w:rsidR="002E3947" w:rsidRDefault="00000000">
      <w:r>
        <w:t>Continuing to focus on internal talent development and aims to provide employees with career growth opportunities.</w:t>
      </w:r>
    </w:p>
    <w:p w14:paraId="707F593C" w14:textId="77777777" w:rsidR="002E3947" w:rsidRDefault="00000000">
      <w:r>
        <w:lastRenderedPageBreak/>
        <w:t>Continuing to encourage all employees to create developmental plans and consider the competencies and skills they need to develop in order to achieve their career aspirations.</w:t>
      </w:r>
    </w:p>
    <w:p w14:paraId="608F395F" w14:textId="77777777" w:rsidR="002E3947" w:rsidRDefault="00000000">
      <w:r>
        <w:t>Citi has introduced market-based salary structures and bonus opportunity guidelines in various countries worldwide, and posts salary ranges on all external U.</w:t>
      </w:r>
    </w:p>
    <w:p w14:paraId="7198E4F9" w14:textId="77777777" w:rsidR="002E3947" w:rsidRDefault="00000000">
      <w:r>
        <w:t>Job postings, which aligns with strategic objectives of pay equity and transparency.</w:t>
      </w:r>
    </w:p>
    <w:p w14:paraId="11952124" w14:textId="77777777" w:rsidR="002E3947" w:rsidRDefault="00000000">
      <w:r>
        <w:t>Benefits and Well-being Citi is proud to provide a wide range of benefits that support its employees mental, social, physical and financial wellbeing through various life stages and events.</w:t>
      </w:r>
    </w:p>
    <w:p w14:paraId="21251F26" w14:textId="77777777" w:rsidR="002E3947" w:rsidRDefault="00000000">
      <w:r>
        <w:t>Among the benefits Citi offers are mental health counseling for employees and their family members, access to onsite medical care clinics, fitness centers, subsidized gym memberships and virtual physical therapy in several locations, and leave programs, including parental and caregiver leaves in certain locations to continue to support employees and their families.</w:t>
      </w:r>
    </w:p>
    <w:p w14:paraId="2828A9B5" w14:textId="77777777" w:rsidR="002E3947" w:rsidRDefault="00000000">
      <w:r>
        <w:t>Accordingly, Citi has established an Enterprise Risk Management Framework to ensure that all of Citis risks are managed appropriately and consistently across the Company and at an aggregate, enterprise-wide level.</w:t>
      </w:r>
    </w:p>
    <w:p w14:paraId="3B03415F" w14:textId="77777777" w:rsidR="002E3947" w:rsidRDefault="00000000">
      <w:r>
        <w:t>As such, Citi asks all employees to ensure that their decisions pass three tests, they are in Citis clients best interests, create economic value and are always systemically responsible.</w:t>
      </w:r>
    </w:p>
    <w:p w14:paraId="06EFB155" w14:textId="77777777" w:rsidR="002E3947" w:rsidRDefault="00000000">
      <w:r>
        <w:t>Citis approach to risk management requires that its risktaking be consistent with its risk appetite.</w:t>
      </w:r>
    </w:p>
    <w:p w14:paraId="3472B8DC" w14:textId="77777777" w:rsidR="002E3947" w:rsidRDefault="00000000">
      <w:r>
        <w:t>Compliance risk is the risk to current or projected financial condition and resilience arising from violations of laws, rules or regulations, or from non-conformance 70 with prescribed practices, internal policies and procedures or ethical standards.</w:t>
      </w:r>
    </w:p>
    <w:p w14:paraId="302AA57E" w14:textId="77777777" w:rsidR="002E3947" w:rsidRDefault="00000000">
      <w:r>
        <w:t>They are also responsible for designing and implementing effective internal controls and maintaining processes for managing their risk profile, including through risk mitigation, so that it remains consistent with Citis established risk appetite.</w:t>
      </w:r>
    </w:p>
    <w:p w14:paraId="6F1B96E1" w14:textId="77777777" w:rsidR="002E3947" w:rsidRDefault="00000000">
      <w:r>
        <w:t>They are responsible for overseeing the risk-taking activities of the first line of defense and challenging the first line of defense in the execution of its risk management responsibilities.</w:t>
      </w:r>
    </w:p>
    <w:p w14:paraId="10783A37" w14:textId="77777777" w:rsidR="002E3947" w:rsidRDefault="00000000">
      <w:r>
        <w:t>They are also responsible for independently identifying, measuring, monitoring, controlling and reporting aggregate risks and for setting standards for the management and oversight of risk.</w:t>
      </w:r>
    </w:p>
    <w:p w14:paraId="6F5E08D9" w14:textId="77777777" w:rsidR="002E3947" w:rsidRDefault="00000000">
      <w:r>
        <w:t>Citis objective is to embed an enterprise-wide compliance risk management framework and culture that identifies, measures, monitors, controls and escalates compliance risk across Citi.</w:t>
      </w:r>
    </w:p>
    <w:p w14:paraId="058667DE" w14:textId="77777777" w:rsidR="002E3947" w:rsidRDefault="00000000">
      <w:r>
        <w:lastRenderedPageBreak/>
        <w:t>ICRM is aligned by business, function and geography to provide compliance risk management advice and credible challenge on day-to-day matters and strategic decision-making for key initiatives.</w:t>
      </w:r>
    </w:p>
    <w:p w14:paraId="104B6CDE" w14:textId="77777777" w:rsidR="002E3947" w:rsidRDefault="00000000">
      <w:r>
        <w:t>ICRM also has program-level Enterprise Compliance units responsible for setting standards and establishing priorities for program-related compliance efforts.</w:t>
      </w:r>
    </w:p>
    <w:p w14:paraId="389C437C" w14:textId="77777777" w:rsidR="002E3947" w:rsidRDefault="00000000">
      <w:r>
        <w:t>Enterprise support functions are composed of Human Resources and Global Legal Affairs and Compliance exclusive of ICRM, which is part of the second line of defense.</w:t>
      </w:r>
    </w:p>
    <w:p w14:paraId="5DD5C6C9" w14:textId="77777777" w:rsidR="002E3947" w:rsidRDefault="00000000">
      <w:r>
        <w:t>Risk Governance Citis ERM Framework encompasses risk management processes to address risks undertaken by Citi through identification, measurement, monitoring, controlling and reporting of all risks.</w:t>
      </w:r>
    </w:p>
    <w:p w14:paraId="6D37E595" w14:textId="77777777" w:rsidR="002E3947" w:rsidRDefault="00000000">
      <w:r>
        <w:t>The ERM Framework integrates these processes with appropriate governance to complement Citis commitment to maintaining strong and consistent risk management practices.</w:t>
      </w:r>
    </w:p>
    <w:p w14:paraId="146F79CC" w14:textId="77777777" w:rsidR="002E3947" w:rsidRDefault="00000000">
      <w:r>
        <w:t>Compensation, Performance Management and Culture Committee, is responsible for overseeing compensation of employees of the Company and its subsidiaries and affiliates and Citi managements sustained focus on fostering a principled culture of sound ethics, responsible conduct and accountability within the organization.</w:t>
      </w:r>
    </w:p>
    <w:p w14:paraId="13A0338B" w14:textId="77777777" w:rsidR="002E3947" w:rsidRDefault="00000000">
      <w:r>
        <w:t>The Committee is also responsible for approving the incentive compensation structure for other members of senior management and certain highly compensated employees including discretionary incentive awards to covered employees as defined in applicable bank regulatory guidance, in accordance with guidelines established by the Committee from time to time.</w:t>
      </w:r>
    </w:p>
    <w:p w14:paraId="03E62A53" w14:textId="77777777" w:rsidR="002E3947" w:rsidRDefault="00000000">
      <w:r>
        <w:t>The Committee also has broad oversight over compliance with bank regulatory guidance governing Citis incentive compensation.</w:t>
      </w:r>
    </w:p>
    <w:p w14:paraId="2FF268ED" w14:textId="77777777" w:rsidR="002E3947" w:rsidRDefault="00000000">
      <w:r>
        <w:t>Citis credit risk management framework also includes policies and procedures to manage problem exposures.</w:t>
      </w:r>
    </w:p>
    <w:p w14:paraId="01B01D79" w14:textId="4A9D93F3" w:rsidR="002E3947" w:rsidRDefault="00000000">
      <w:r>
        <w:t>Citis funding and liquidity management objectives are aimed at, funding its existing asset base</w:t>
      </w:r>
      <w:r w:rsidR="00F32ABB">
        <w:t>,</w:t>
      </w:r>
      <w:r>
        <w:t xml:space="preserve"> growing its core businesses</w:t>
      </w:r>
      <w:r w:rsidR="00F32ABB">
        <w:t xml:space="preserve">, </w:t>
      </w:r>
      <w:r>
        <w:t xml:space="preserve"> maintaining sufficient liquidity, structured appropriately, so that Citi can operate under a variety of adverse circumstances, including potential Company-specific andor market liquidity events in varying durations and severity, and, satisfying regulatory requirements, including, but not limited to, those related to resolution planning see Resolution Plan and Total Loss- Absorbing Capacity below.</w:t>
      </w:r>
    </w:p>
    <w:p w14:paraId="5C676879" w14:textId="77777777" w:rsidR="002E3947" w:rsidRDefault="00000000">
      <w:r>
        <w:t>The liquidity risk management framework provides that, in addition to the aggregate requirements, certain entities be self-sufficient or net providers of liquidity, including in conditions established under their designated stress tests.</w:t>
      </w:r>
    </w:p>
    <w:p w14:paraId="061FC8AC" w14:textId="77777777" w:rsidR="002E3947" w:rsidRDefault="00000000">
      <w:r>
        <w:lastRenderedPageBreak/>
        <w:t>The ALCO sets the strategy of the liquidity portfolio and monitors portfolio performance see Risk GovernanceBoard and Executive Management Committees above.</w:t>
      </w:r>
    </w:p>
    <w:p w14:paraId="0C622962" w14:textId="77777777" w:rsidR="002E3947" w:rsidRDefault="00000000">
      <w:r>
        <w:t>Citi also has other ALCOs, which are established at various organizational levels to ensure appropriate oversight for individual entities, countries, franchise businesses and regions, serving as the primary governance committees for managing Citis balance sheet and liquidity.</w:t>
      </w:r>
    </w:p>
    <w:p w14:paraId="2CDA3F3D" w14:textId="77777777" w:rsidR="002E3947" w:rsidRDefault="00000000">
      <w:r>
        <w:t>The FLRC reviews and discusses the funding and liquidity risk profile of, as well as risk management practices for, Citigroup and Citibank and reports its findings and recommendations to each relevant ALCO as appropriate.</w:t>
      </w:r>
    </w:p>
    <w:p w14:paraId="4BB8C833" w14:textId="77777777" w:rsidR="002E3947" w:rsidRDefault="00000000">
      <w:r>
        <w:t>Citis deposit base is spread across a diversified set of countries, industries, clients and currencies and is subject to Citis Liquidity Risk Management Policy and Procedures.</w:t>
      </w:r>
    </w:p>
    <w:p w14:paraId="0AE5197B" w14:textId="77777777" w:rsidR="002E3947" w:rsidRDefault="00000000">
      <w:r>
        <w:t>Each business is required to establish, with approval from Citis market risk management, a market risk limit framework for identified risk factors that clearly defines approved risk profiles and is within the parameters of Citis overall risk appetite.</w:t>
      </w:r>
    </w:p>
    <w:p w14:paraId="120F4C11" w14:textId="77777777" w:rsidR="002E3947" w:rsidRDefault="00000000">
      <w:r>
        <w:t>Citis market risk management, after consultations with the businesses, develops both systemic and specific stress scenarios, reviews the output of periodic stress testing exercises and uses the information to assess the ongoing appropriateness of exposure levels and limits.</w:t>
      </w:r>
    </w:p>
    <w:p w14:paraId="6FE5ED7B" w14:textId="77777777" w:rsidR="002E3947" w:rsidRDefault="00000000">
      <w:r>
        <w:t>Citi maintains a comprehensive Company-wide risk taxonomy to classify operational risks that it faces using standardized definitions across Citis Operational Risk Management Framework see discussion below.</w:t>
      </w:r>
    </w:p>
    <w:p w14:paraId="62D4888F" w14:textId="77777777" w:rsidR="002E3947" w:rsidRDefault="00000000">
      <w:r>
        <w:t>Each Citi operating segment must implement operational risk management processes consistent with the requirements of this framework.</w:t>
      </w:r>
    </w:p>
    <w:p w14:paraId="0E87BFFA" w14:textId="77777777" w:rsidR="002E3947" w:rsidRDefault="00000000">
      <w:r>
        <w:t>Citi has a governance structure for the oversight of operational risk exposures through Business Risk and Controls Committees BRCCs, which are focused at the group, business or function, or geography level.</w:t>
      </w:r>
    </w:p>
    <w:p w14:paraId="08DC8E20" w14:textId="77777777" w:rsidR="002E3947" w:rsidRDefault="00000000">
      <w:r>
        <w:t>This office independently evaluates and challenges Citis risk mitigation practices and capabilities, from a fused operational risk and compliance lens.</w:t>
      </w:r>
    </w:p>
    <w:p w14:paraId="10450CDD" w14:textId="77777777" w:rsidR="002E3947" w:rsidRDefault="00000000">
      <w:r>
        <w:t>TCCORO also advises first line partners in CISO, supporting enterprise-wide efforts to proactively identify and remediate cybersecurity risks before they materialize as incidents that negatively affect business operations.</w:t>
      </w:r>
    </w:p>
    <w:p w14:paraId="440B2658" w14:textId="77777777" w:rsidR="002E3947" w:rsidRDefault="00000000">
      <w:r>
        <w:t>To address evolving cybersecurity risks and corresponding regulations, TCCORO monitors cybersecurity legal and regulatory requirements, identifies and defines emerging risks, executes strategic cybersecurity threat assessments, performs new product and initiative reviews, performs data management risk oversight and conducts cybersecurity risk assurance reviews inclusive of third-party assessments.</w:t>
      </w:r>
    </w:p>
    <w:p w14:paraId="7ACAD050" w14:textId="77777777" w:rsidR="002E3947" w:rsidRDefault="00000000">
      <w:r>
        <w:lastRenderedPageBreak/>
        <w:t>In addition, this office oversees and challenges 119 metrics related to cybersecurity and technology and ensures they remain aligned with Citis overall operational risk management framework to effectively track, identify and manage risk.</w:t>
      </w:r>
    </w:p>
    <w:p w14:paraId="51A67ECE" w14:textId="77777777" w:rsidR="002E3947" w:rsidRDefault="00000000">
      <w:r>
        <w:t>Citi has built a robust third-party information security risk management program that governs third-party engagements from selection, to the establishment of legal agreements that govern the relationship, to ongoing monitoring through the duration of the relationship.</w:t>
      </w:r>
    </w:p>
    <w:p w14:paraId="7B5B7455" w14:textId="77777777" w:rsidR="002E3947" w:rsidRDefault="00000000">
      <w:r>
        <w:t>Thirdparty risk management includes reliance on contractual requirements around data and cybersecurity, vulnerability assessments, third-party information security assessments performed at intervals determined by risk level, governance to manage end-of-life and end-of-vendor-support risks, and thirdparty incident response protocols.</w:t>
      </w:r>
    </w:p>
    <w:p w14:paraId="7E8AD65D" w14:textId="77777777" w:rsidR="002E3947" w:rsidRDefault="00000000">
      <w:r>
        <w:t>This counsel maintains oversight of policy document requirements to ensure that information technology policy documents meet Citis objectives as established internally and are in line with laws and regulations as identified and communicated by ICRM.</w:t>
      </w:r>
    </w:p>
    <w:p w14:paraId="2F4EA6CC" w14:textId="77777777" w:rsidR="002E3947" w:rsidRDefault="00000000">
      <w:r>
        <w:t>Citi is regulated by bodies across the globe that also regularly examine and audit Citis cyber and information security program against local laws, regulations and industry best practices.</w:t>
      </w:r>
    </w:p>
    <w:p w14:paraId="7761A112" w14:textId="77777777" w:rsidR="002E3947" w:rsidRDefault="00000000">
      <w:r>
        <w:t>Additionally, Citigroups Board participates in cybersecurity exercises to improve preparedness to address cybersecurity incidents.</w:t>
      </w:r>
    </w:p>
    <w:p w14:paraId="776D1BE2" w14:textId="77777777" w:rsidR="002E3947" w:rsidRDefault="00000000">
      <w:r>
        <w:t>For additional information on the Boards oversight of cybersecurity risk management, see Citis upcoming 2025 Annual Meeting Proxy Statement to be filed with the SEC in March 2025.</w:t>
      </w:r>
    </w:p>
    <w:p w14:paraId="2FD39FF8" w14:textId="77777777" w:rsidR="002E3947" w:rsidRDefault="00000000">
      <w:r>
        <w:t>Citi seeks to operate with integrity, maintain strong ethical standards and adhere to applicable policies and regulatory and legal requirements.</w:t>
      </w:r>
    </w:p>
    <w:p w14:paraId="64ACB21A" w14:textId="77777777" w:rsidR="002E3947" w:rsidRDefault="00000000">
      <w:r>
        <w:t>Maintain and oversee an integrated CRM Framework that facilitates enterprise-wide compliance with local, national or cross-border laws, rules or regulations, Citis internal policies, standards and procedures and relevant standards of conduct.</w:t>
      </w:r>
    </w:p>
    <w:p w14:paraId="50397473" w14:textId="77777777" w:rsidR="002E3947" w:rsidRDefault="00000000">
      <w:r>
        <w:t>Assess compliance risks and issues across product lines, functions and geographies, supported by globally consistent systems and compliance risk management processes.</w:t>
      </w:r>
    </w:p>
    <w:p w14:paraId="473533EC" w14:textId="77777777" w:rsidR="002E3947" w:rsidRDefault="00000000">
      <w:r>
        <w:t>Citi carries out its objectives and fulfills its responsibilities through the CRM Framework, which is composed of the following integrated key activities, to holistically manage compliance risk, Management of Citis compliance with laws, rules and regulations by identifying and analyzing changes, assessing the impact and implementing appropriate policies, processes and controls.</w:t>
      </w:r>
    </w:p>
    <w:p w14:paraId="5F15BDE6" w14:textId="77777777" w:rsidR="002E3947" w:rsidRDefault="00000000">
      <w:r>
        <w:t>Developing and providing compliance training to ensure employees are aware of and understand the key laws, rules and regulations.</w:t>
      </w:r>
    </w:p>
    <w:p w14:paraId="6023003D" w14:textId="77777777" w:rsidR="002E3947" w:rsidRDefault="00000000">
      <w:r>
        <w:lastRenderedPageBreak/>
        <w:t>Monitoring the Compliance Risk Appetite, which is articulated through qualitative compliance risk statements describing Citis appetite for certain types of risk and quantitative measures to monitor the Companys compliance risk exposure.</w:t>
      </w:r>
    </w:p>
    <w:p w14:paraId="39CCFC47" w14:textId="77777777" w:rsidR="002E3947" w:rsidRDefault="00000000">
      <w:r>
        <w:t>To anticipate, control and mitigate compliance risk, Citi has established the CRM Policy to achieve standardization and centralization of methodologies and processes, and to enable more consistent and comprehensive execution of compliance risk management.</w:t>
      </w:r>
    </w:p>
    <w:p w14:paraId="07F6FAA6" w14:textId="77777777" w:rsidR="002E3947" w:rsidRDefault="00000000">
      <w:r>
        <w:t>ICRM is responsible for oversight of Citis CRM Policy, while all businesses and global control functions are responsible for managing their compliance risks and operating within the Compliance Risk Appetite.</w:t>
      </w:r>
    </w:p>
    <w:p w14:paraId="28FA7764" w14:textId="77777777" w:rsidR="002E3947" w:rsidRDefault="00000000">
      <w:r>
        <w:t>The framework also requires that business segments escalate potential material reputation risks that require review or mitigation through the applicable business Management Forum or Group Reputation Risk Committee.</w:t>
      </w:r>
    </w:p>
    <w:p w14:paraId="2BC2FCF0" w14:textId="77777777" w:rsidR="002E3947" w:rsidRDefault="00000000">
      <w:r>
        <w:t>Citis Strategic Plan is presented to the Board on an annual basis, and is aligned with risk appetite thresholds and includes a risk assessment as required by internal frameworks.</w:t>
      </w:r>
    </w:p>
    <w:p w14:paraId="726E5335" w14:textId="77777777" w:rsidR="002E3947" w:rsidRDefault="00000000">
      <w:r>
        <w:t>Governance and oversight of strategic risk is facilitated by internal committees on a group-wide basis.</w:t>
      </w:r>
    </w:p>
    <w:p w14:paraId="0D7B1829" w14:textId="77777777" w:rsidR="002E3947" w:rsidRDefault="00000000">
      <w:r>
        <w:t>Citi works to ensure that strategic risks are adequately considered and addressed across its various risk management activities, and that strategic risks are assessed in the context of Citis risk appetite.</w:t>
      </w:r>
    </w:p>
    <w:p w14:paraId="465A92C5" w14:textId="77777777" w:rsidR="002E3947" w:rsidRDefault="00000000">
      <w:r>
        <w:t>Citi continues to make progress toward embedding climate-related considerations into its overarching risk management approach, driven by the materiality of the financial and strategic risk considerations.</w:t>
      </w:r>
    </w:p>
    <w:p w14:paraId="1BBD5A0C" w14:textId="77777777" w:rsidR="002E3947" w:rsidRDefault="00000000">
      <w:r>
        <w:t>Citi continues to develop globally consistent principles and approaches for managing climate risk across the Company through its Climate Risk Management Framework Climate RMF.</w:t>
      </w:r>
    </w:p>
    <w:p w14:paraId="4A3446F7" w14:textId="77777777" w:rsidR="002E3947" w:rsidRDefault="00000000">
      <w:r>
        <w:t>The Climate RMF provides information on the governance, roles and responsibilities, and principles to 122 support the identification, measurement, monitoring, controlling and reporting of climate risks.</w:t>
      </w:r>
    </w:p>
    <w:p w14:paraId="52934BF1" w14:textId="77777777" w:rsidR="002E3947" w:rsidRDefault="00000000">
      <w:r>
        <w:t>These assessments help Citi to better understand its clients businesses and climate-related risks, and support their financial needs.</w:t>
      </w:r>
    </w:p>
    <w:p w14:paraId="77D55110" w14:textId="77777777" w:rsidR="002E3947" w:rsidRDefault="00000000">
      <w:r>
        <w:t>Citi also reviews factors related to climate risk associated with financed projects and clients in certain sectors under its Environmental and Social Risk Management Policy.</w:t>
      </w:r>
    </w:p>
    <w:p w14:paraId="4D93BDF6" w14:textId="77777777" w:rsidR="002E3947" w:rsidRDefault="00000000">
      <w:r>
        <w:t>Citis ESRM Policy describes sector approaches to certain high-carbon sectors, including thermal coal mining and power.</w:t>
      </w:r>
    </w:p>
    <w:p w14:paraId="37EB5677" w14:textId="77777777" w:rsidR="002E3947" w:rsidRDefault="00000000">
      <w:r>
        <w:lastRenderedPageBreak/>
        <w:t>Furthermore, Citi participates in financial industry and regulatory initiatives that inform the measurement and assessment of potential financial risks of climate change, including scenario analysis.</w:t>
      </w:r>
    </w:p>
    <w:p w14:paraId="5A60F3BD" w14:textId="77777777" w:rsidR="002E3947" w:rsidRDefault="00000000">
      <w:r>
        <w:t>Russia Overview Citi previously ended nearly all of the institutional banking services it offered in Russia and ceased soliciting any new business or new clients in the country, with the remaining services only those necessary to fulfill its remaining legal and regulatory obligations, as well as support its employees.</w:t>
      </w:r>
    </w:p>
    <w:p w14:paraId="547371B3" w14:textId="77777777" w:rsidR="002E3947" w:rsidRDefault="00000000">
      <w:r>
        <w:t>To mitigate operational and sanctions risks, Citi has established policies, procedures and controls for client relationships and payment processing to help ensure compliance with U.</w:t>
      </w:r>
    </w:p>
    <w:p w14:paraId="6BDDCA46" w14:textId="77777777" w:rsidR="002E3947" w:rsidRDefault="00000000">
      <w:r>
        <w:t>, EU and other jurisdictions sanctions laws.</w:t>
      </w:r>
    </w:p>
    <w:p w14:paraId="36A5CF00" w14:textId="77777777" w:rsidR="002E3947" w:rsidRDefault="00000000">
      <w:r>
        <w:t>Reputational Risks Citi has continued its efforts to enhance and protect its reputation with its employees, clients, customers, investors, regulators and the public.</w:t>
      </w:r>
    </w:p>
    <w:p w14:paraId="1202F850" w14:textId="77777777" w:rsidR="002E3947" w:rsidRDefault="00000000">
      <w:r>
        <w:t>While Citi announced its intention to wind down its businesses in Russia, Citi will continue to manage those operations during the wind-down process and will be required to maintain certain limited operations to fulfill its remaining legal and regulatory obligations.</w:t>
      </w:r>
    </w:p>
    <w:p w14:paraId="16FCC937" w14:textId="77777777" w:rsidR="002E3947" w:rsidRDefault="00000000">
      <w:r>
        <w:t>Also, sanctions and sanctions compliance are highly complex and may change over time and result in increased operational risk.</w:t>
      </w:r>
    </w:p>
    <w:p w14:paraId="7AC006A3" w14:textId="77777777" w:rsidR="002E3947" w:rsidRDefault="00000000">
      <w:r>
        <w:t>Citis continued presence or divestiture of businesses in Russia could also increase its susceptibility to cyberattacks that could negatively impact its relationships with clients and customers, harm its reputation, increase its compliance costs and adversely affect its business operations and results of operations.</w:t>
      </w:r>
    </w:p>
    <w:p w14:paraId="33CB9C3E" w14:textId="77777777" w:rsidR="002E3947" w:rsidRDefault="00000000">
      <w:r>
        <w:t>Given current economic conditions and the local capital, currency and regulatory limitations, Citi cannot guarantee the availability or effectiveness of such mechanisms to reduce its ARS exposure in the future.</w:t>
      </w:r>
    </w:p>
    <w:p w14:paraId="2535C81F" w14:textId="77777777" w:rsidR="002E3947" w:rsidRDefault="00000000">
      <w:r>
        <w:t>The allocated equity in the reporting units is determined based on the capital the business would require if it were operating as a standalone entity, incorporating sufficient capital to be in compliance with both current and expected regulatory capital requirements, including capital for specifically identified goodwill and intangible assets.</w:t>
      </w:r>
    </w:p>
    <w:p w14:paraId="1B4B1FAF" w14:textId="77777777" w:rsidR="002E3947" w:rsidRDefault="00000000">
      <w:r>
        <w:t>The capital allocated to the reporting units is incorporated into the annual budget process, which is approved by Citigroups Board of Directors.</w:t>
      </w:r>
    </w:p>
    <w:p w14:paraId="2C0B4EEC" w14:textId="77777777" w:rsidR="002E3947" w:rsidRDefault="00000000">
      <w:r>
        <w:t>Unanticipated declines in business performance, increases in credit losses, increases in capital requirements and adverse regulatory or legislative changes, as well as deterioration in economic or market conditions, are factors that could result in a material impairment loss to earnings in a future period related to some portion of the associated goodwill.</w:t>
      </w:r>
    </w:p>
    <w:p w14:paraId="48DF7F1D" w14:textId="5BE0655D" w:rsidR="002E3947" w:rsidRDefault="00000000">
      <w:r>
        <w:lastRenderedPageBreak/>
        <w:t xml:space="preserve">Citis internal control over financial reporting includes those policies and procedures that, pertain to the maintenance of records that in reasonable detail accurately and fairly reflect the transactions and dispositions of </w:t>
      </w:r>
      <w:proofErr w:type="spellStart"/>
      <w:r>
        <w:t>Citis</w:t>
      </w:r>
      <w:proofErr w:type="spellEnd"/>
      <w:r>
        <w:t xml:space="preserve"> assets</w:t>
      </w:r>
      <w:r w:rsidR="00F32ABB">
        <w:t xml:space="preserve">, </w:t>
      </w:r>
      <w:r>
        <w:t xml:space="preserve"> provide reasonable assurance that transactions are recorded as necessary to permit preparation of financial statements in accordance with generally accepted accounting principles and that Citis receipts and expenditures are made only in accordance with authorizations of Citis management and directors, and, provide reasonable assurance regarding prevention or timely detection of unauthorized acquisition, use or disposition of Citis assets that could have a material effect on its financial statements.</w:t>
      </w:r>
    </w:p>
    <w:p w14:paraId="411C4B09" w14:textId="77777777" w:rsidR="002E3947" w:rsidRDefault="00000000">
      <w:r>
        <w:t>Citis management assessed the effectiveness of Citigroups internal control over financial reporting as of December 31, 2024 based on the criteria set forth by the Committee of Sponsoring Organizations of the Treadway Commission in Internal ControlIntegrated Framework, .</w:t>
      </w:r>
    </w:p>
    <w:p w14:paraId="75776764" w14:textId="77777777" w:rsidR="002E3947" w:rsidRDefault="00000000">
      <w:r>
        <w:t>The effectiveness of Citis internal control over financial reporting as of December 31, 2024 has been audited by KPMG LLP, Citis independent registered public accounting firm, as stated in their report below, which expressed an unqualified opinion on the effectiveness of Citis internal control over financial reporting as of December 31, 2024.</w:t>
      </w:r>
    </w:p>
    <w:p w14:paraId="00C66057" w14:textId="77777777" w:rsidR="002E3947" w:rsidRDefault="00000000">
      <w:r>
        <w:t>We also have audited the Companys internal control over financial reporting as of December 31, 2024, based on criteria established in Internal ControlIntegrated Framework, issued by the Committee of Sponsoring Organizations of the Treadway Commission.</w:t>
      </w:r>
    </w:p>
    <w:p w14:paraId="556AAA91" w14:textId="77777777" w:rsidR="002E3947" w:rsidRDefault="00000000">
      <w:r>
        <w:t>Also in our opinion, the Company maintained, in all material respects, effective internal control over financial reporting as of December 31, 2024 based on criteria established in Internal ControlIntegrated Framework, issued by the Committee of Sponsoring Organizations of the Treadway Commission.</w:t>
      </w:r>
    </w:p>
    <w:p w14:paraId="781E6905" w14:textId="77777777" w:rsidR="002E3947" w:rsidRDefault="00000000">
      <w:r>
        <w:t>Basis for Opinions The Companys management is responsible for these consolidated financial statements, for maintaining effective internal control over financial reporting, and for its assessment of the effectiveness of internal control over financial reporting, included in the accompanying managements annual report on internal control over financial reporting.</w:t>
      </w:r>
    </w:p>
    <w:p w14:paraId="41AFE325" w14:textId="77777777" w:rsidR="002E3947" w:rsidRDefault="00000000">
      <w:r>
        <w:t>Our responsibility is to express an opinion on the Companys consolidated financial statements and an opinion on the Companys internal control over financial reporting based on our audits.</w:t>
      </w:r>
    </w:p>
    <w:p w14:paraId="13A9E5B9" w14:textId="77777777" w:rsidR="002E3947" w:rsidRDefault="00000000">
      <w:r>
        <w:t>Those standards require that we plan and perform the audits to obtain reasonable assurance about whether the consolidated financial statements are free of material misstatement, whether due to error or fraud, and whether effective internal control over financial reporting was maintained in all material respects.</w:t>
      </w:r>
    </w:p>
    <w:p w14:paraId="77DEB788" w14:textId="77777777" w:rsidR="002E3947" w:rsidRDefault="00000000">
      <w:r>
        <w:t xml:space="preserve">Our audit of internal control over financial reporting included obtaining an understanding of internal control over financial reporting, assessing the risk that a material weakness </w:t>
      </w:r>
      <w:r>
        <w:lastRenderedPageBreak/>
        <w:t>exists, and testing and evaluating the design and operating effectiveness of internal control based on the assessed risk.</w:t>
      </w:r>
    </w:p>
    <w:p w14:paraId="3633C7A1" w14:textId="77777777" w:rsidR="002E3947" w:rsidRDefault="00000000">
      <w:r>
        <w:t>The hedging relationship must be formally documented at inception, detailing the particular risk management objective and strategy for the hedge.</w:t>
      </w:r>
    </w:p>
    <w:p w14:paraId="7B7E42A0" w14:textId="77777777" w:rsidR="002E3947" w:rsidRDefault="00000000">
      <w:r>
        <w:t>The following table summarizes the reserve charges related to the Korea VERP and other initiatives reported in All Other, In millions of dollars Employee termination costs Total Citigroup pretax Original charges in fourth quarter 2021 $ 1,052 Utilization, Foreign exchange 3 Balance at December 31, 2021 $ 1,054 Additional charges in first quarter 2022 $ 31 Utilization, Foreign exchange, Balance at March 31, 2022 $ 714 Additional charges releases $, Utilization, Foreign exchange, Balance at June 30, 2022 $ Note, There were no additional charges after June 30, 2022.</w:t>
      </w:r>
    </w:p>
    <w:p w14:paraId="35CEFDD8" w14:textId="77777777" w:rsidR="002E3947" w:rsidRDefault="00000000">
      <w:r>
        <w:t>The managed basis presents investors with a view of operating earnings that provides increased transparency and clarity into the operational results of Citis performance.</w:t>
      </w:r>
    </w:p>
    <w:p w14:paraId="60ED1BC3" w14:textId="77777777" w:rsidR="002E3947" w:rsidRDefault="00000000">
      <w:r>
        <w:t>Pursuant to Citigroup policy andor regulatory requirements, certain employees are subject to mandatory deferrals of incentive pay and generally receive 15%60% of their awards in the form of deferred stock or deferred cash stock units.</w:t>
      </w:r>
    </w:p>
    <w:p w14:paraId="034EEEF2" w14:textId="77777777" w:rsidR="002E3947" w:rsidRDefault="00000000">
      <w:r>
        <w:t>Post employment vesting by retirement-eligible employees and participants who meet other conditions is generally conditioned upon their compliance with certain restrictions during the remaining vesting period.</w:t>
      </w:r>
    </w:p>
    <w:p w14:paraId="06316AFF" w14:textId="77777777" w:rsidR="002E3947" w:rsidRDefault="00000000">
      <w:r>
        <w:t>Citi seeks to protect itself from the risks associated with customer activities by requiring customers to maintain margin collateral in compliance with regulatory and internal guidelines.</w:t>
      </w:r>
    </w:p>
    <w:p w14:paraId="30E26B24" w14:textId="77777777" w:rsidR="002E3947" w:rsidRDefault="00000000">
      <w:r>
        <w:t>Citigroup has established a risk management process to monitor, evaluate and manage the principal risks associated with its consumer loan portfolio.</w:t>
      </w:r>
    </w:p>
    <w:p w14:paraId="79351EE2" w14:textId="77777777" w:rsidR="002E3947" w:rsidRDefault="00000000">
      <w:r>
        <w:t>Unanticipated declines in business performance, increases in credit losses, increases in capital requirements and adverse regulatory or legislative changes, as well as deterioration in economic or market conditions, are factors that could result in a material impairment loss to earnings in a future period related to some portion of the associated goodwill.</w:t>
      </w:r>
    </w:p>
    <w:p w14:paraId="05EEC25C" w14:textId="77777777" w:rsidR="002E3947" w:rsidRDefault="00000000">
      <w:r>
        <w:t>In determining the dividends, each subsidiary depository institution must also consider its effect on applicable riskbased capital and leverage ratio requirements, as well as policy statements of the federal bank regulatory agencies that indicate that banking organizations should generally pay dividends out of current operating earnings.</w:t>
      </w:r>
    </w:p>
    <w:p w14:paraId="33A2F972" w14:textId="77777777" w:rsidR="002E3947" w:rsidRDefault="00000000">
      <w:r>
        <w:t>Citigroup offers its customers derivatives in connection with their risk management actions to transfer, modify or reduce their interest rate, foreign exchange and other marketcredit risks or for their own trading purposes.</w:t>
      </w:r>
    </w:p>
    <w:p w14:paraId="0E4862D5" w14:textId="77777777" w:rsidR="002E3947" w:rsidRDefault="00000000">
      <w:r>
        <w:lastRenderedPageBreak/>
        <w:t>Citi considers the level of legal certainty regarding enforceability of its offsetting rights under master netting agreements and credit support annexes to be an important factor in its risk management process.</w:t>
      </w:r>
    </w:p>
    <w:p w14:paraId="0A0445BF" w14:textId="77777777" w:rsidR="002E3947" w:rsidRDefault="00000000">
      <w:r>
        <w:t>As a result, Citigroup is often unable to estimate the loss in such matters, even if it believes that a loss is probable or reasonably possible, until developments in the case, proceeding or investigation have yielded additional information sufficient to support a quantitative assessment of the range of reasonably possible loss.</w:t>
      </w:r>
    </w:p>
    <w:p w14:paraId="60F464FC" w14:textId="77777777" w:rsidR="002E3947" w:rsidRDefault="00000000">
      <w:r>
        <w:t>The consolidated complaint asserts claims for breach of fiduciary duty, unjust enrichment, and contribution and indemnification in connection with defendants alleged failures to implement adequate internal controls.</w:t>
      </w:r>
    </w:p>
    <w:p w14:paraId="1AD30505" w14:textId="77777777" w:rsidR="002E3947" w:rsidRDefault="00000000">
      <w:r>
        <w:t>For additional information, see Capital ResourcesRegulatory Capital Buffers and Risk Factors Strategic Risks, Operational Risks and Compliance Risks above.</w:t>
      </w:r>
    </w:p>
    <w:p w14:paraId="2C7452C1" w14:textId="77777777" w:rsidR="002E3947" w:rsidRDefault="00000000">
      <w:r>
        <w:t>For additional information, see Capital ResourcesRegulatory Capital Buffers and Risk FactorsStrategic Risks, Operational Risks and Compliance Risks above.</w:t>
      </w:r>
    </w:p>
    <w:p w14:paraId="059789F6" w14:textId="77777777" w:rsidR="002E3947" w:rsidRDefault="00000000">
      <w:r>
        <w:t>He also served as Vice Chairman, where his responsibilities included strategy, investor relations, regulatory affairs, public policy, corporate responsibility, marketing and sales, and human capital.</w:t>
      </w:r>
    </w:p>
    <w:p w14:paraId="21945FA9" w14:textId="77777777" w:rsidR="002E3947" w:rsidRDefault="00000000">
      <w:r>
        <w:t>Amendments and waivers, if any, to the Code of Ethics for Financial Professionals will be disclosed on Citis website, The Audit Committee has responsibility for the oversight of Citis Code of Ethics for Financial Professionals.</w:t>
      </w:r>
    </w:p>
    <w:p w14:paraId="5426A033" w14:textId="77777777" w:rsidR="002E3947" w:rsidRDefault="00000000">
      <w:r>
        <w:t>SOFR, Secured Overnight Financing Rate SPEs, Special purpose entities Standardized Approach, Established through Basel III, the Standardized Approach aligns regulatory capital requirements more closely with the key elements of banking risk by introducing a wider differentiation of risk weights and a wider recognition of credit risk mitigation techniques, while avoiding excessive complexity.</w:t>
      </w:r>
    </w:p>
    <w:sectPr w:rsidR="002E394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ambria">
    <w:panose1 w:val="02040503050406030204"/>
    <w:charset w:val="EE"/>
    <w:family w:val="roman"/>
    <w:pitch w:val="variable"/>
    <w:sig w:usb0="E00006FF" w:usb1="420024FF" w:usb2="02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Calibri">
    <w:panose1 w:val="020F0502020204030204"/>
    <w:charset w:val="EE"/>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slovanzoznam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slovanzoznam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Zoznamsodrka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Zoznamsodrka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slovanzoznam"/>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Zoznamsodrkami"/>
      <w:lvlText w:val=""/>
      <w:lvlJc w:val="left"/>
      <w:pPr>
        <w:tabs>
          <w:tab w:val="num" w:pos="360"/>
        </w:tabs>
        <w:ind w:left="360" w:hanging="360"/>
      </w:pPr>
      <w:rPr>
        <w:rFonts w:ascii="Symbol" w:hAnsi="Symbol" w:hint="default"/>
      </w:rPr>
    </w:lvl>
  </w:abstractNum>
  <w:num w:numId="1" w16cid:durableId="2147358042">
    <w:abstractNumId w:val="8"/>
  </w:num>
  <w:num w:numId="2" w16cid:durableId="1470132200">
    <w:abstractNumId w:val="6"/>
  </w:num>
  <w:num w:numId="3" w16cid:durableId="291448362">
    <w:abstractNumId w:val="5"/>
  </w:num>
  <w:num w:numId="4" w16cid:durableId="2085880278">
    <w:abstractNumId w:val="4"/>
  </w:num>
  <w:num w:numId="5" w16cid:durableId="1358197392">
    <w:abstractNumId w:val="7"/>
  </w:num>
  <w:num w:numId="6" w16cid:durableId="1512336801">
    <w:abstractNumId w:val="3"/>
  </w:num>
  <w:num w:numId="7" w16cid:durableId="1735659623">
    <w:abstractNumId w:val="2"/>
  </w:num>
  <w:num w:numId="8" w16cid:durableId="393117272">
    <w:abstractNumId w:val="1"/>
  </w:num>
  <w:num w:numId="9" w16cid:durableId="6606999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E3947"/>
    <w:rsid w:val="00326F90"/>
    <w:rsid w:val="005235FB"/>
    <w:rsid w:val="00AA1D8D"/>
    <w:rsid w:val="00B47730"/>
    <w:rsid w:val="00CB0664"/>
    <w:rsid w:val="00D35522"/>
    <w:rsid w:val="00F32AB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FDE4AB8"/>
  <w14:defaultImageDpi w14:val="300"/>
  <w15:docId w15:val="{207F9421-E931-FB4E-887D-C4F3D7EE71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y">
    <w:name w:val="Normal"/>
    <w:qFormat/>
    <w:rsid w:val="00FC693F"/>
  </w:style>
  <w:style w:type="paragraph" w:styleId="Nadpis1">
    <w:name w:val="heading 1"/>
    <w:basedOn w:val="Normlny"/>
    <w:next w:val="Normlny"/>
    <w:link w:val="Nadpis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Nadpis2">
    <w:name w:val="heading 2"/>
    <w:basedOn w:val="Normlny"/>
    <w:next w:val="Normlny"/>
    <w:link w:val="Nadpis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Nadpis3">
    <w:name w:val="heading 3"/>
    <w:basedOn w:val="Normlny"/>
    <w:next w:val="Normlny"/>
    <w:link w:val="Nadpis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Nadpis4">
    <w:name w:val="heading 4"/>
    <w:basedOn w:val="Normlny"/>
    <w:next w:val="Normlny"/>
    <w:link w:val="Nadpis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Nadpis5">
    <w:name w:val="heading 5"/>
    <w:basedOn w:val="Normlny"/>
    <w:next w:val="Normlny"/>
    <w:link w:val="Nadpis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Nadpis6">
    <w:name w:val="heading 6"/>
    <w:basedOn w:val="Normlny"/>
    <w:next w:val="Normlny"/>
    <w:link w:val="Nadpis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Nadpis7">
    <w:name w:val="heading 7"/>
    <w:basedOn w:val="Normlny"/>
    <w:next w:val="Normlny"/>
    <w:link w:val="Nadpis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Nadpis8">
    <w:name w:val="heading 8"/>
    <w:basedOn w:val="Normlny"/>
    <w:next w:val="Normlny"/>
    <w:link w:val="Nadpis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Nadpis9">
    <w:name w:val="heading 9"/>
    <w:basedOn w:val="Normlny"/>
    <w:next w:val="Normlny"/>
    <w:link w:val="Nadpis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redvolenpsmoodseku">
    <w:name w:val="Default Paragraph Font"/>
    <w:uiPriority w:val="1"/>
    <w:semiHidden/>
    <w:unhideWhenUsed/>
  </w:style>
  <w:style w:type="table" w:default="1" w:styleId="Normlnatabuka">
    <w:name w:val="Normal Table"/>
    <w:uiPriority w:val="99"/>
    <w:semiHidden/>
    <w:unhideWhenUsed/>
    <w:tblPr>
      <w:tblInd w:w="0" w:type="dxa"/>
      <w:tblCellMar>
        <w:top w:w="0" w:type="dxa"/>
        <w:left w:w="108" w:type="dxa"/>
        <w:bottom w:w="0" w:type="dxa"/>
        <w:right w:w="108" w:type="dxa"/>
      </w:tblCellMar>
    </w:tblPr>
  </w:style>
  <w:style w:type="numbering" w:default="1" w:styleId="Bezzoznamu">
    <w:name w:val="No List"/>
    <w:uiPriority w:val="99"/>
    <w:semiHidden/>
    <w:unhideWhenUsed/>
  </w:style>
  <w:style w:type="paragraph" w:styleId="Hlavika">
    <w:name w:val="header"/>
    <w:basedOn w:val="Normlny"/>
    <w:link w:val="HlavikaChar"/>
    <w:uiPriority w:val="99"/>
    <w:unhideWhenUsed/>
    <w:rsid w:val="00E618BF"/>
    <w:pPr>
      <w:tabs>
        <w:tab w:val="center" w:pos="4680"/>
        <w:tab w:val="right" w:pos="9360"/>
      </w:tabs>
      <w:spacing w:after="0" w:line="240" w:lineRule="auto"/>
    </w:pPr>
  </w:style>
  <w:style w:type="character" w:customStyle="1" w:styleId="HlavikaChar">
    <w:name w:val="Hlavička Char"/>
    <w:basedOn w:val="Predvolenpsmoodseku"/>
    <w:link w:val="Hlavika"/>
    <w:uiPriority w:val="99"/>
    <w:rsid w:val="00E618BF"/>
  </w:style>
  <w:style w:type="paragraph" w:styleId="Pta">
    <w:name w:val="footer"/>
    <w:basedOn w:val="Normlny"/>
    <w:link w:val="PtaChar"/>
    <w:uiPriority w:val="99"/>
    <w:unhideWhenUsed/>
    <w:rsid w:val="00E618BF"/>
    <w:pPr>
      <w:tabs>
        <w:tab w:val="center" w:pos="4680"/>
        <w:tab w:val="right" w:pos="9360"/>
      </w:tabs>
      <w:spacing w:after="0" w:line="240" w:lineRule="auto"/>
    </w:pPr>
  </w:style>
  <w:style w:type="character" w:customStyle="1" w:styleId="PtaChar">
    <w:name w:val="Päta Char"/>
    <w:basedOn w:val="Predvolenpsmoodseku"/>
    <w:link w:val="Pta"/>
    <w:uiPriority w:val="99"/>
    <w:rsid w:val="00E618BF"/>
  </w:style>
  <w:style w:type="paragraph" w:styleId="Bezriadkovania">
    <w:name w:val="No Spacing"/>
    <w:uiPriority w:val="1"/>
    <w:qFormat/>
    <w:rsid w:val="00FC693F"/>
    <w:pPr>
      <w:spacing w:after="0" w:line="240" w:lineRule="auto"/>
    </w:pPr>
  </w:style>
  <w:style w:type="character" w:customStyle="1" w:styleId="Nadpis1Char">
    <w:name w:val="Nadpis 1 Char"/>
    <w:basedOn w:val="Predvolenpsmoodseku"/>
    <w:link w:val="Nadpis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Nadpis2Char">
    <w:name w:val="Nadpis 2 Char"/>
    <w:basedOn w:val="Predvolenpsmoodseku"/>
    <w:link w:val="Nadpis2"/>
    <w:uiPriority w:val="9"/>
    <w:rsid w:val="00FC693F"/>
    <w:rPr>
      <w:rFonts w:asciiTheme="majorHAnsi" w:eastAsiaTheme="majorEastAsia" w:hAnsiTheme="majorHAnsi" w:cstheme="majorBidi"/>
      <w:b/>
      <w:bCs/>
      <w:color w:val="4F81BD" w:themeColor="accent1"/>
      <w:sz w:val="26"/>
      <w:szCs w:val="26"/>
    </w:rPr>
  </w:style>
  <w:style w:type="character" w:customStyle="1" w:styleId="Nadpis3Char">
    <w:name w:val="Nadpis 3 Char"/>
    <w:basedOn w:val="Predvolenpsmoodseku"/>
    <w:link w:val="Nadpis3"/>
    <w:uiPriority w:val="9"/>
    <w:rsid w:val="00FC693F"/>
    <w:rPr>
      <w:rFonts w:asciiTheme="majorHAnsi" w:eastAsiaTheme="majorEastAsia" w:hAnsiTheme="majorHAnsi" w:cstheme="majorBidi"/>
      <w:b/>
      <w:bCs/>
      <w:color w:val="4F81BD" w:themeColor="accent1"/>
    </w:rPr>
  </w:style>
  <w:style w:type="paragraph" w:styleId="Nzov">
    <w:name w:val="Title"/>
    <w:basedOn w:val="Normlny"/>
    <w:next w:val="Normlny"/>
    <w:link w:val="Nzov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NzovChar">
    <w:name w:val="Názov Char"/>
    <w:basedOn w:val="Predvolenpsmoodseku"/>
    <w:link w:val="Nzov"/>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Podtitul">
    <w:name w:val="Subtitle"/>
    <w:basedOn w:val="Normlny"/>
    <w:next w:val="Normlny"/>
    <w:link w:val="Podtitul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PodtitulChar">
    <w:name w:val="Podtitul Char"/>
    <w:basedOn w:val="Predvolenpsmoodseku"/>
    <w:link w:val="Podtitul"/>
    <w:uiPriority w:val="11"/>
    <w:rsid w:val="00FC693F"/>
    <w:rPr>
      <w:rFonts w:asciiTheme="majorHAnsi" w:eastAsiaTheme="majorEastAsia" w:hAnsiTheme="majorHAnsi" w:cstheme="majorBidi"/>
      <w:i/>
      <w:iCs/>
      <w:color w:val="4F81BD" w:themeColor="accent1"/>
      <w:spacing w:val="15"/>
      <w:sz w:val="24"/>
      <w:szCs w:val="24"/>
    </w:rPr>
  </w:style>
  <w:style w:type="paragraph" w:styleId="Odsekzoznamu">
    <w:name w:val="List Paragraph"/>
    <w:basedOn w:val="Normlny"/>
    <w:uiPriority w:val="34"/>
    <w:qFormat/>
    <w:rsid w:val="00FC693F"/>
    <w:pPr>
      <w:ind w:left="720"/>
      <w:contextualSpacing/>
    </w:pPr>
  </w:style>
  <w:style w:type="paragraph" w:styleId="Zkladntext">
    <w:name w:val="Body Text"/>
    <w:basedOn w:val="Normlny"/>
    <w:link w:val="ZkladntextChar"/>
    <w:uiPriority w:val="99"/>
    <w:unhideWhenUsed/>
    <w:rsid w:val="00AA1D8D"/>
    <w:pPr>
      <w:spacing w:after="120"/>
    </w:pPr>
  </w:style>
  <w:style w:type="character" w:customStyle="1" w:styleId="ZkladntextChar">
    <w:name w:val="Základný text Char"/>
    <w:basedOn w:val="Predvolenpsmoodseku"/>
    <w:link w:val="Zkladntext"/>
    <w:uiPriority w:val="99"/>
    <w:rsid w:val="00AA1D8D"/>
  </w:style>
  <w:style w:type="paragraph" w:styleId="Zkladntext2">
    <w:name w:val="Body Text 2"/>
    <w:basedOn w:val="Normlny"/>
    <w:link w:val="Zkladntext2Char"/>
    <w:uiPriority w:val="99"/>
    <w:unhideWhenUsed/>
    <w:rsid w:val="00AA1D8D"/>
    <w:pPr>
      <w:spacing w:after="120" w:line="480" w:lineRule="auto"/>
    </w:pPr>
  </w:style>
  <w:style w:type="character" w:customStyle="1" w:styleId="Zkladntext2Char">
    <w:name w:val="Základný text 2 Char"/>
    <w:basedOn w:val="Predvolenpsmoodseku"/>
    <w:link w:val="Zkladntext2"/>
    <w:uiPriority w:val="99"/>
    <w:rsid w:val="00AA1D8D"/>
  </w:style>
  <w:style w:type="paragraph" w:styleId="Zkladntext3">
    <w:name w:val="Body Text 3"/>
    <w:basedOn w:val="Normlny"/>
    <w:link w:val="Zkladntext3Char"/>
    <w:uiPriority w:val="99"/>
    <w:unhideWhenUsed/>
    <w:rsid w:val="00AA1D8D"/>
    <w:pPr>
      <w:spacing w:after="120"/>
    </w:pPr>
    <w:rPr>
      <w:sz w:val="16"/>
      <w:szCs w:val="16"/>
    </w:rPr>
  </w:style>
  <w:style w:type="character" w:customStyle="1" w:styleId="Zkladntext3Char">
    <w:name w:val="Základný text 3 Char"/>
    <w:basedOn w:val="Predvolenpsmoodseku"/>
    <w:link w:val="Zkladntext3"/>
    <w:uiPriority w:val="99"/>
    <w:rsid w:val="00AA1D8D"/>
    <w:rPr>
      <w:sz w:val="16"/>
      <w:szCs w:val="16"/>
    </w:rPr>
  </w:style>
  <w:style w:type="paragraph" w:styleId="Zoznam">
    <w:name w:val="List"/>
    <w:basedOn w:val="Normlny"/>
    <w:uiPriority w:val="99"/>
    <w:unhideWhenUsed/>
    <w:rsid w:val="00AA1D8D"/>
    <w:pPr>
      <w:ind w:left="360" w:hanging="360"/>
      <w:contextualSpacing/>
    </w:pPr>
  </w:style>
  <w:style w:type="paragraph" w:styleId="Zoznam2">
    <w:name w:val="List 2"/>
    <w:basedOn w:val="Normlny"/>
    <w:uiPriority w:val="99"/>
    <w:unhideWhenUsed/>
    <w:rsid w:val="00326F90"/>
    <w:pPr>
      <w:ind w:left="720" w:hanging="360"/>
      <w:contextualSpacing/>
    </w:pPr>
  </w:style>
  <w:style w:type="paragraph" w:styleId="Zoznam3">
    <w:name w:val="List 3"/>
    <w:basedOn w:val="Normlny"/>
    <w:uiPriority w:val="99"/>
    <w:unhideWhenUsed/>
    <w:rsid w:val="00326F90"/>
    <w:pPr>
      <w:ind w:left="1080" w:hanging="360"/>
      <w:contextualSpacing/>
    </w:pPr>
  </w:style>
  <w:style w:type="paragraph" w:styleId="Zoznamsodrkami">
    <w:name w:val="List Bullet"/>
    <w:basedOn w:val="Normlny"/>
    <w:uiPriority w:val="99"/>
    <w:unhideWhenUsed/>
    <w:rsid w:val="00326F90"/>
    <w:pPr>
      <w:numPr>
        <w:numId w:val="1"/>
      </w:numPr>
      <w:contextualSpacing/>
    </w:pPr>
  </w:style>
  <w:style w:type="paragraph" w:styleId="Zoznamsodrkami2">
    <w:name w:val="List Bullet 2"/>
    <w:basedOn w:val="Normlny"/>
    <w:uiPriority w:val="99"/>
    <w:unhideWhenUsed/>
    <w:rsid w:val="00326F90"/>
    <w:pPr>
      <w:numPr>
        <w:numId w:val="2"/>
      </w:numPr>
      <w:contextualSpacing/>
    </w:pPr>
  </w:style>
  <w:style w:type="paragraph" w:styleId="Zoznamsodrkami3">
    <w:name w:val="List Bullet 3"/>
    <w:basedOn w:val="Normlny"/>
    <w:uiPriority w:val="99"/>
    <w:unhideWhenUsed/>
    <w:rsid w:val="00326F90"/>
    <w:pPr>
      <w:numPr>
        <w:numId w:val="3"/>
      </w:numPr>
      <w:contextualSpacing/>
    </w:pPr>
  </w:style>
  <w:style w:type="paragraph" w:styleId="slovanzoznam">
    <w:name w:val="List Number"/>
    <w:basedOn w:val="Normlny"/>
    <w:uiPriority w:val="99"/>
    <w:unhideWhenUsed/>
    <w:rsid w:val="00326F90"/>
    <w:pPr>
      <w:numPr>
        <w:numId w:val="5"/>
      </w:numPr>
      <w:contextualSpacing/>
    </w:pPr>
  </w:style>
  <w:style w:type="paragraph" w:styleId="slovanzoznam2">
    <w:name w:val="List Number 2"/>
    <w:basedOn w:val="Normlny"/>
    <w:uiPriority w:val="99"/>
    <w:unhideWhenUsed/>
    <w:rsid w:val="0029639D"/>
    <w:pPr>
      <w:numPr>
        <w:numId w:val="6"/>
      </w:numPr>
      <w:contextualSpacing/>
    </w:pPr>
  </w:style>
  <w:style w:type="paragraph" w:styleId="slovanzoznam3">
    <w:name w:val="List Number 3"/>
    <w:basedOn w:val="Normlny"/>
    <w:uiPriority w:val="99"/>
    <w:unhideWhenUsed/>
    <w:rsid w:val="0029639D"/>
    <w:pPr>
      <w:numPr>
        <w:numId w:val="7"/>
      </w:numPr>
      <w:contextualSpacing/>
    </w:pPr>
  </w:style>
  <w:style w:type="paragraph" w:styleId="Pokraovaniezoznamu">
    <w:name w:val="List Continue"/>
    <w:basedOn w:val="Normlny"/>
    <w:uiPriority w:val="99"/>
    <w:unhideWhenUsed/>
    <w:rsid w:val="0029639D"/>
    <w:pPr>
      <w:spacing w:after="120"/>
      <w:ind w:left="360"/>
      <w:contextualSpacing/>
    </w:pPr>
  </w:style>
  <w:style w:type="paragraph" w:styleId="Pokraovaniezoznamu2">
    <w:name w:val="List Continue 2"/>
    <w:basedOn w:val="Normlny"/>
    <w:uiPriority w:val="99"/>
    <w:unhideWhenUsed/>
    <w:rsid w:val="0029639D"/>
    <w:pPr>
      <w:spacing w:after="120"/>
      <w:ind w:left="720"/>
      <w:contextualSpacing/>
    </w:pPr>
  </w:style>
  <w:style w:type="paragraph" w:styleId="Pokraovaniezoznamu3">
    <w:name w:val="List Continue 3"/>
    <w:basedOn w:val="Normlny"/>
    <w:uiPriority w:val="99"/>
    <w:unhideWhenUsed/>
    <w:rsid w:val="0029639D"/>
    <w:pPr>
      <w:spacing w:after="120"/>
      <w:ind w:left="1080"/>
      <w:contextualSpacing/>
    </w:pPr>
  </w:style>
  <w:style w:type="paragraph" w:styleId="Textmakra">
    <w:name w:val="macro"/>
    <w:link w:val="Textmakra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makraChar">
    <w:name w:val="Text makra Char"/>
    <w:basedOn w:val="Predvolenpsmoodseku"/>
    <w:link w:val="Textmakra"/>
    <w:uiPriority w:val="99"/>
    <w:rsid w:val="0029639D"/>
    <w:rPr>
      <w:rFonts w:ascii="Courier" w:hAnsi="Courier"/>
      <w:sz w:val="20"/>
      <w:szCs w:val="20"/>
    </w:rPr>
  </w:style>
  <w:style w:type="paragraph" w:styleId="Citcia">
    <w:name w:val="Quote"/>
    <w:basedOn w:val="Normlny"/>
    <w:next w:val="Normlny"/>
    <w:link w:val="CitciaChar"/>
    <w:uiPriority w:val="29"/>
    <w:qFormat/>
    <w:rsid w:val="00FC693F"/>
    <w:rPr>
      <w:i/>
      <w:iCs/>
      <w:color w:val="000000" w:themeColor="text1"/>
    </w:rPr>
  </w:style>
  <w:style w:type="character" w:customStyle="1" w:styleId="CitciaChar">
    <w:name w:val="Citácia Char"/>
    <w:basedOn w:val="Predvolenpsmoodseku"/>
    <w:link w:val="Citcia"/>
    <w:uiPriority w:val="29"/>
    <w:rsid w:val="00FC693F"/>
    <w:rPr>
      <w:i/>
      <w:iCs/>
      <w:color w:val="000000" w:themeColor="text1"/>
    </w:rPr>
  </w:style>
  <w:style w:type="character" w:customStyle="1" w:styleId="Nadpis4Char">
    <w:name w:val="Nadpis 4 Char"/>
    <w:basedOn w:val="Predvolenpsmoodseku"/>
    <w:link w:val="Nadpis4"/>
    <w:uiPriority w:val="9"/>
    <w:semiHidden/>
    <w:rsid w:val="00FC693F"/>
    <w:rPr>
      <w:rFonts w:asciiTheme="majorHAnsi" w:eastAsiaTheme="majorEastAsia" w:hAnsiTheme="majorHAnsi" w:cstheme="majorBidi"/>
      <w:b/>
      <w:bCs/>
      <w:i/>
      <w:iCs/>
      <w:color w:val="4F81BD" w:themeColor="accent1"/>
    </w:rPr>
  </w:style>
  <w:style w:type="character" w:customStyle="1" w:styleId="Nadpis5Char">
    <w:name w:val="Nadpis 5 Char"/>
    <w:basedOn w:val="Predvolenpsmoodseku"/>
    <w:link w:val="Nadpis5"/>
    <w:uiPriority w:val="9"/>
    <w:semiHidden/>
    <w:rsid w:val="00FC693F"/>
    <w:rPr>
      <w:rFonts w:asciiTheme="majorHAnsi" w:eastAsiaTheme="majorEastAsia" w:hAnsiTheme="majorHAnsi" w:cstheme="majorBidi"/>
      <w:color w:val="243F60" w:themeColor="accent1" w:themeShade="7F"/>
    </w:rPr>
  </w:style>
  <w:style w:type="character" w:customStyle="1" w:styleId="Nadpis6Char">
    <w:name w:val="Nadpis 6 Char"/>
    <w:basedOn w:val="Predvolenpsmoodseku"/>
    <w:link w:val="Nadpis6"/>
    <w:uiPriority w:val="9"/>
    <w:semiHidden/>
    <w:rsid w:val="00FC693F"/>
    <w:rPr>
      <w:rFonts w:asciiTheme="majorHAnsi" w:eastAsiaTheme="majorEastAsia" w:hAnsiTheme="majorHAnsi" w:cstheme="majorBidi"/>
      <w:i/>
      <w:iCs/>
      <w:color w:val="243F60" w:themeColor="accent1" w:themeShade="7F"/>
    </w:rPr>
  </w:style>
  <w:style w:type="character" w:customStyle="1" w:styleId="Nadpis7Char">
    <w:name w:val="Nadpis 7 Char"/>
    <w:basedOn w:val="Predvolenpsmoodseku"/>
    <w:link w:val="Nadpis7"/>
    <w:uiPriority w:val="9"/>
    <w:semiHidden/>
    <w:rsid w:val="00FC693F"/>
    <w:rPr>
      <w:rFonts w:asciiTheme="majorHAnsi" w:eastAsiaTheme="majorEastAsia" w:hAnsiTheme="majorHAnsi" w:cstheme="majorBidi"/>
      <w:i/>
      <w:iCs/>
      <w:color w:val="404040" w:themeColor="text1" w:themeTint="BF"/>
    </w:rPr>
  </w:style>
  <w:style w:type="character" w:customStyle="1" w:styleId="Nadpis8Char">
    <w:name w:val="Nadpis 8 Char"/>
    <w:basedOn w:val="Predvolenpsmoodseku"/>
    <w:link w:val="Nadpis8"/>
    <w:uiPriority w:val="9"/>
    <w:semiHidden/>
    <w:rsid w:val="00FC693F"/>
    <w:rPr>
      <w:rFonts w:asciiTheme="majorHAnsi" w:eastAsiaTheme="majorEastAsia" w:hAnsiTheme="majorHAnsi" w:cstheme="majorBidi"/>
      <w:color w:val="4F81BD" w:themeColor="accent1"/>
      <w:sz w:val="20"/>
      <w:szCs w:val="20"/>
    </w:rPr>
  </w:style>
  <w:style w:type="character" w:customStyle="1" w:styleId="Nadpis9Char">
    <w:name w:val="Nadpis 9 Char"/>
    <w:basedOn w:val="Predvolenpsmoodseku"/>
    <w:link w:val="Nadpis9"/>
    <w:uiPriority w:val="9"/>
    <w:semiHidden/>
    <w:rsid w:val="00FC693F"/>
    <w:rPr>
      <w:rFonts w:asciiTheme="majorHAnsi" w:eastAsiaTheme="majorEastAsia" w:hAnsiTheme="majorHAnsi" w:cstheme="majorBidi"/>
      <w:i/>
      <w:iCs/>
      <w:color w:val="404040" w:themeColor="text1" w:themeTint="BF"/>
      <w:sz w:val="20"/>
      <w:szCs w:val="20"/>
    </w:rPr>
  </w:style>
  <w:style w:type="paragraph" w:styleId="Popis">
    <w:name w:val="caption"/>
    <w:basedOn w:val="Normlny"/>
    <w:next w:val="Normlny"/>
    <w:uiPriority w:val="35"/>
    <w:semiHidden/>
    <w:unhideWhenUsed/>
    <w:qFormat/>
    <w:rsid w:val="00FC693F"/>
    <w:pPr>
      <w:spacing w:line="240" w:lineRule="auto"/>
    </w:pPr>
    <w:rPr>
      <w:b/>
      <w:bCs/>
      <w:color w:val="4F81BD" w:themeColor="accent1"/>
      <w:sz w:val="18"/>
      <w:szCs w:val="18"/>
    </w:rPr>
  </w:style>
  <w:style w:type="character" w:styleId="Vrazn">
    <w:name w:val="Strong"/>
    <w:basedOn w:val="Predvolenpsmoodseku"/>
    <w:uiPriority w:val="22"/>
    <w:qFormat/>
    <w:rsid w:val="00FC693F"/>
    <w:rPr>
      <w:b/>
      <w:bCs/>
    </w:rPr>
  </w:style>
  <w:style w:type="character" w:styleId="Zvraznenie">
    <w:name w:val="Emphasis"/>
    <w:basedOn w:val="Predvolenpsmoodseku"/>
    <w:uiPriority w:val="20"/>
    <w:qFormat/>
    <w:rsid w:val="00FC693F"/>
    <w:rPr>
      <w:i/>
      <w:iCs/>
    </w:rPr>
  </w:style>
  <w:style w:type="paragraph" w:styleId="Zvraznencitcia">
    <w:name w:val="Intense Quote"/>
    <w:basedOn w:val="Normlny"/>
    <w:next w:val="Normlny"/>
    <w:link w:val="Zvraznencitci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ZvraznencitciaChar">
    <w:name w:val="Zvýraznená citácia Char"/>
    <w:basedOn w:val="Predvolenpsmoodseku"/>
    <w:link w:val="Zvraznencitcia"/>
    <w:uiPriority w:val="30"/>
    <w:rsid w:val="00FC693F"/>
    <w:rPr>
      <w:b/>
      <w:bCs/>
      <w:i/>
      <w:iCs/>
      <w:color w:val="4F81BD" w:themeColor="accent1"/>
    </w:rPr>
  </w:style>
  <w:style w:type="character" w:styleId="Jemnzvraznenie">
    <w:name w:val="Subtle Emphasis"/>
    <w:basedOn w:val="Predvolenpsmoodseku"/>
    <w:uiPriority w:val="19"/>
    <w:qFormat/>
    <w:rsid w:val="00FC693F"/>
    <w:rPr>
      <w:i/>
      <w:iCs/>
      <w:color w:val="808080" w:themeColor="text1" w:themeTint="7F"/>
    </w:rPr>
  </w:style>
  <w:style w:type="character" w:styleId="Intenzvnezvraznenie">
    <w:name w:val="Intense Emphasis"/>
    <w:basedOn w:val="Predvolenpsmoodseku"/>
    <w:uiPriority w:val="21"/>
    <w:qFormat/>
    <w:rsid w:val="00FC693F"/>
    <w:rPr>
      <w:b/>
      <w:bCs/>
      <w:i/>
      <w:iCs/>
      <w:color w:val="4F81BD" w:themeColor="accent1"/>
    </w:rPr>
  </w:style>
  <w:style w:type="character" w:styleId="Jemnodkaz">
    <w:name w:val="Subtle Reference"/>
    <w:basedOn w:val="Predvolenpsmoodseku"/>
    <w:uiPriority w:val="31"/>
    <w:qFormat/>
    <w:rsid w:val="00FC693F"/>
    <w:rPr>
      <w:smallCaps/>
      <w:color w:val="C0504D" w:themeColor="accent2"/>
      <w:u w:val="single"/>
    </w:rPr>
  </w:style>
  <w:style w:type="character" w:styleId="Zvraznenodkaz">
    <w:name w:val="Intense Reference"/>
    <w:basedOn w:val="Predvolenpsmoodseku"/>
    <w:uiPriority w:val="32"/>
    <w:qFormat/>
    <w:rsid w:val="00FC693F"/>
    <w:rPr>
      <w:b/>
      <w:bCs/>
      <w:smallCaps/>
      <w:color w:val="C0504D" w:themeColor="accent2"/>
      <w:spacing w:val="5"/>
      <w:u w:val="single"/>
    </w:rPr>
  </w:style>
  <w:style w:type="character" w:styleId="Nzovknihy">
    <w:name w:val="Book Title"/>
    <w:basedOn w:val="Predvolenpsmoodseku"/>
    <w:uiPriority w:val="33"/>
    <w:qFormat/>
    <w:rsid w:val="00FC693F"/>
    <w:rPr>
      <w:b/>
      <w:bCs/>
      <w:smallCaps/>
      <w:spacing w:val="5"/>
    </w:rPr>
  </w:style>
  <w:style w:type="paragraph" w:styleId="Hlavikaobsahu">
    <w:name w:val="TOC Heading"/>
    <w:basedOn w:val="Nadpis1"/>
    <w:next w:val="Normlny"/>
    <w:uiPriority w:val="39"/>
    <w:semiHidden/>
    <w:unhideWhenUsed/>
    <w:qFormat/>
    <w:rsid w:val="00FC693F"/>
    <w:pPr>
      <w:outlineLvl w:val="9"/>
    </w:pPr>
  </w:style>
  <w:style w:type="table" w:styleId="Mriekatabuky">
    <w:name w:val="Table Grid"/>
    <w:basedOn w:val="Normlnatabuka"/>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vetlpodfarbenie">
    <w:name w:val="Light Shading"/>
    <w:basedOn w:val="Normlnatabuka"/>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vetlpodfarbeniezvraznenie1">
    <w:name w:val="Light Shading Accent 1"/>
    <w:basedOn w:val="Normlnatabuka"/>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vetlpodfarbeniezvraznenie2">
    <w:name w:val="Light Shading Accent 2"/>
    <w:basedOn w:val="Normlnatabuka"/>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vetlpodfarbeniezvraznenie3">
    <w:name w:val="Light Shading Accent 3"/>
    <w:basedOn w:val="Normlnatabuka"/>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vetlpodfarbeniezvraznenie4">
    <w:name w:val="Light Shading Accent 4"/>
    <w:basedOn w:val="Normlnatabuka"/>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vetlpodfarbeniezvraznenie5">
    <w:name w:val="Light Shading Accent 5"/>
    <w:basedOn w:val="Normlnatabuka"/>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vetlpodfarbeniezvraznenie6">
    <w:name w:val="Light Shading Accent 6"/>
    <w:basedOn w:val="Normlnatabuka"/>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Svetlzoznam">
    <w:name w:val="Light List"/>
    <w:basedOn w:val="Normlnatabuka"/>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Svetlzoznamzvraznenie1">
    <w:name w:val="Light List Accent 1"/>
    <w:basedOn w:val="Normlnatabuka"/>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Svetlzoznamzvraznenie2">
    <w:name w:val="Light List Accent 2"/>
    <w:basedOn w:val="Normlnatabuka"/>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Svetlzoznamzvraznenie3">
    <w:name w:val="Light List Accent 3"/>
    <w:basedOn w:val="Normlnatabuka"/>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Svetlzoznamzvraznenie4">
    <w:name w:val="Light List Accent 4"/>
    <w:basedOn w:val="Normlnatabuka"/>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Svetlzoznamzvraznenie5">
    <w:name w:val="Light List Accent 5"/>
    <w:basedOn w:val="Normlnatabuka"/>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Svetlzoznamzvraznenie6">
    <w:name w:val="Light List Accent 6"/>
    <w:basedOn w:val="Normlnatabuka"/>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Svetlmrieka">
    <w:name w:val="Light Grid"/>
    <w:basedOn w:val="Normlnatabuka"/>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Svetlmriekazvraznenie1">
    <w:name w:val="Light Grid Accent 1"/>
    <w:basedOn w:val="Normlnatabuka"/>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Svetlmriekazvraznenie2">
    <w:name w:val="Light Grid Accent 2"/>
    <w:basedOn w:val="Normlnatabuka"/>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Svetlmriekazvraznenie3">
    <w:name w:val="Light Grid Accent 3"/>
    <w:basedOn w:val="Normlnatabuka"/>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Svetlmriekazvraznenie4">
    <w:name w:val="Light Grid Accent 4"/>
    <w:basedOn w:val="Normlnatabuka"/>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Svetlmriekazvraznenie5">
    <w:name w:val="Light Grid Accent 5"/>
    <w:basedOn w:val="Normlnatabuka"/>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Svetlmriekazvraznenie6">
    <w:name w:val="Light Grid Accent 6"/>
    <w:basedOn w:val="Normlnatabuka"/>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trednpodfarbenie1">
    <w:name w:val="Medium Shading 1"/>
    <w:basedOn w:val="Normlnatabuka"/>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trednpodfarbenie1zvraznenie1">
    <w:name w:val="Medium Shading 1 Accent 1"/>
    <w:basedOn w:val="Normlnatabuka"/>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trednpodfarbenie1zvraznenie2">
    <w:name w:val="Medium Shading 1 Accent 2"/>
    <w:basedOn w:val="Normlnatabuka"/>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trednpodfarbenie1zvraznenie3">
    <w:name w:val="Medium Shading 1 Accent 3"/>
    <w:basedOn w:val="Normlnatabuka"/>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trednpodfarbenie1zvraznenie4">
    <w:name w:val="Medium Shading 1 Accent 4"/>
    <w:basedOn w:val="Normlnatabuka"/>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trednpodfarbenie1zvraznenie5">
    <w:name w:val="Medium Shading 1 Accent 5"/>
    <w:basedOn w:val="Normlnatabuka"/>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Farebnpodfarbenie1zvraznenie6">
    <w:name w:val="Medium Shading 1 Accent 6"/>
    <w:basedOn w:val="Normlnatabuka"/>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trednpodfarbenie2">
    <w:name w:val="Medium Shading 2"/>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1">
    <w:name w:val="Medium Shading 2 Accent 1"/>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2">
    <w:name w:val="Medium Shading 2 Accent 2"/>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3">
    <w:name w:val="Medium Shading 2 Accent 3"/>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4">
    <w:name w:val="Medium Shading 2 Accent 4"/>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5">
    <w:name w:val="Medium Shading 2 Accent 5"/>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Farebnpodfarbenie2zvraznenie6">
    <w:name w:val="Medium Shading 2 Accent 6"/>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zoznam1">
    <w:name w:val="Medium List 1"/>
    <w:basedOn w:val="Normlnatabuka"/>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Strednzoznam1zvraznenie1">
    <w:name w:val="Medium List 1 Accent 1"/>
    <w:basedOn w:val="Normlnatabuka"/>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Strednzoznam1zvraznenie2">
    <w:name w:val="Medium List 1 Accent 2"/>
    <w:basedOn w:val="Normlnatabuka"/>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Strednzoznam1zvraznenie3">
    <w:name w:val="Medium List 1 Accent 3"/>
    <w:basedOn w:val="Normlnatabuka"/>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Strednzoznam1zvraznenie4">
    <w:name w:val="Medium List 1 Accent 4"/>
    <w:basedOn w:val="Normlnatabuka"/>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Strednzoznam1zvraznenie5">
    <w:name w:val="Medium List 1 Accent 5"/>
    <w:basedOn w:val="Normlnatabuka"/>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Strednzoznam1zvraznenie6">
    <w:name w:val="Medium List 1 Accent 6"/>
    <w:basedOn w:val="Normlnatabuka"/>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Strednzoznam2">
    <w:name w:val="Medium List 2"/>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1">
    <w:name w:val="Medium List 2 Accent 1"/>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2">
    <w:name w:val="Medium List 2 Accent 2"/>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3">
    <w:name w:val="Medium List 2 Accent 3"/>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4">
    <w:name w:val="Medium List 2 Accent 4"/>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5">
    <w:name w:val="Medium List 2 Accent 5"/>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6">
    <w:name w:val="Medium List 2 Accent 6"/>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mrieka1">
    <w:name w:val="Medium Grid 1"/>
    <w:basedOn w:val="Normlnatabuka"/>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Strednmrieka1zvraznenie1">
    <w:name w:val="Medium Grid 1 Accent 1"/>
    <w:basedOn w:val="Normlnatabuka"/>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Strednmrieka1zvraznenie2">
    <w:name w:val="Medium Grid 1 Accent 2"/>
    <w:basedOn w:val="Normlnatabuka"/>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Strednmrieka1zvraznenie3">
    <w:name w:val="Medium Grid 1 Accent 3"/>
    <w:basedOn w:val="Normlnatabuka"/>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Strednmrieka1zvraznenie4">
    <w:name w:val="Medium Grid 1 Accent 4"/>
    <w:basedOn w:val="Normlnatabuka"/>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Strednmrieka1zvraznenie5">
    <w:name w:val="Medium Grid 1 Accent 5"/>
    <w:basedOn w:val="Normlnatabuka"/>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Strednmrieka1zvraznenie6">
    <w:name w:val="Medium Grid 1 Accent 6"/>
    <w:basedOn w:val="Normlnatabuka"/>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Strednmrieka2">
    <w:name w:val="Medium Grid 2"/>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Strednmrieka2zvraznenie1">
    <w:name w:val="Medium Grid 2 Accent 1"/>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Strednmrieka2zvraznenie2">
    <w:name w:val="Medium Grid 2 Accent 2"/>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Strednmrieka2zvraznenie3">
    <w:name w:val="Medium Grid 2 Accent 3"/>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Strednmrieka2zvraznenie4">
    <w:name w:val="Medium Grid 2 Accent 4"/>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Strednmrieka2zvraznenie5">
    <w:name w:val="Medium Grid 2 Accent 5"/>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Strednmrieka2zvraznenie6">
    <w:name w:val="Medium Grid 2 Accent 6"/>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Strednmrieka3">
    <w:name w:val="Medium Grid 3"/>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Strednmrieka3zvraznenie1">
    <w:name w:val="Medium Grid 3 Accent 1"/>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Strednmrieka3zvraznenie2">
    <w:name w:val="Medium Grid 3 Accent 2"/>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Strednmrieka3zvraznenie3">
    <w:name w:val="Medium Grid 3 Accent 3"/>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Strednmrieka3zvraznenie4">
    <w:name w:val="Medium Grid 3 Accent 4"/>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Strednmrieka3zvraznenie5">
    <w:name w:val="Medium Grid 3 Accent 5"/>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Strednmrieka3zvraznenie6">
    <w:name w:val="Medium Grid 3 Accent 6"/>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Tmavzoznam">
    <w:name w:val="Dark List"/>
    <w:basedOn w:val="Normlnatabuka"/>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Tmavzoznamzvraznenie1">
    <w:name w:val="Dark List Accent 1"/>
    <w:basedOn w:val="Normlnatabuka"/>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Tmavzoznamzvraznenie2">
    <w:name w:val="Dark List Accent 2"/>
    <w:basedOn w:val="Normlnatabuka"/>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Tmavzoznamzvraznenie3">
    <w:name w:val="Dark List Accent 3"/>
    <w:basedOn w:val="Normlnatabuka"/>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Tmavzoznamzvraznenie4">
    <w:name w:val="Dark List Accent 4"/>
    <w:basedOn w:val="Normlnatabuka"/>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Tmavzoznamzvraznenie5">
    <w:name w:val="Dark List Accent 5"/>
    <w:basedOn w:val="Normlnatabuka"/>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Tmavzoznamzvraznenie6">
    <w:name w:val="Dark List Accent 6"/>
    <w:basedOn w:val="Normlnatabuka"/>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ebnpodfarbenie">
    <w:name w:val="Colorful Shading"/>
    <w:basedOn w:val="Normlnatabu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ebnpodfarbeniezvraznenie1">
    <w:name w:val="Colorful Shading Accent 1"/>
    <w:basedOn w:val="Normlnatabu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ebnpodfarbeniezvraznenie2">
    <w:name w:val="Colorful Shading Accent 2"/>
    <w:basedOn w:val="Normlnatabu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ebnpodfarbeniezvraznenie3">
    <w:name w:val="Colorful Shading Accent 3"/>
    <w:basedOn w:val="Normlnatabuka"/>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ebnpodfarbeniezvraznenie4">
    <w:name w:val="Colorful Shading Accent 4"/>
    <w:basedOn w:val="Normlnatabuka"/>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ebnpodfarbeniezvraznenie5">
    <w:name w:val="Colorful Shading Accent 5"/>
    <w:basedOn w:val="Normlnatabuka"/>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ebnpodfarbeniezvraznenie6">
    <w:name w:val="Colorful Shading Accent 6"/>
    <w:basedOn w:val="Normlnatabuka"/>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ebnzoznam">
    <w:name w:val="Colorful List"/>
    <w:basedOn w:val="Normlnatabuka"/>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ebnzoznamzvraznenie1">
    <w:name w:val="Colorful List Accent 1"/>
    <w:basedOn w:val="Normlnatabuka"/>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ebnzoznamzvraznenie2">
    <w:name w:val="Colorful List Accent 2"/>
    <w:basedOn w:val="Normlnatabuka"/>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ebnzoznamzvraznenie3">
    <w:name w:val="Colorful List Accent 3"/>
    <w:basedOn w:val="Normlnatabuka"/>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ebnzoznamzvraznenie4">
    <w:name w:val="Colorful List Accent 4"/>
    <w:basedOn w:val="Normlnatabuka"/>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ebnzoznamzvraznenie5">
    <w:name w:val="Colorful List Accent 5"/>
    <w:basedOn w:val="Normlnatabuka"/>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ebnzoznamzvraznenie6">
    <w:name w:val="Colorful List Accent 6"/>
    <w:basedOn w:val="Normlnatabuka"/>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ebnmrieka">
    <w:name w:val="Colorful Grid"/>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ebnmriekazvraznenie1">
    <w:name w:val="Colorful Grid Accent 1"/>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ebnmriekazvraznenie2">
    <w:name w:val="Colorful Grid Accent 2"/>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ebnmriekazvraznenie3">
    <w:name w:val="Colorful Grid Accent 3"/>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ebnmriekazvraznenie4">
    <w:name w:val="Colorful Grid Accent 4"/>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ebnmriekazvraznenie5">
    <w:name w:val="Colorful Grid Accent 5"/>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ebnmriekazvraznenie6">
    <w:name w:val="Colorful Grid Accent 6"/>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20</Pages>
  <Words>7820</Words>
  <Characters>44575</Characters>
  <Application>Microsoft Office Word</Application>
  <DocSecurity>0</DocSecurity>
  <Lines>371</Lines>
  <Paragraphs>104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52291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Mária Pappová</cp:lastModifiedBy>
  <cp:revision>3</cp:revision>
  <dcterms:created xsi:type="dcterms:W3CDTF">2013-12-23T23:15:00Z</dcterms:created>
  <dcterms:modified xsi:type="dcterms:W3CDTF">2025-08-12T13:36:00Z</dcterms:modified>
  <cp:category/>
</cp:coreProperties>
</file>