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6EE2" w14:textId="77777777" w:rsidR="00D144C3" w:rsidRDefault="00000000">
      <w:r>
        <w:t>The bank strives to maintain a work environment that fosters professionalism, excellence, diversity, cooperation among employees and high standards of business ethics.</w:t>
      </w:r>
    </w:p>
    <w:p w14:paraId="4460BEA6" w14:textId="603DBA7D" w:rsidR="00D144C3" w:rsidRDefault="00000000">
      <w:r>
        <w:t xml:space="preserve">The capital requirements are expressed as risk-based capital and leverage ratios that compare measures of regulatory capital to risk-weighted assets RWAs, assets and </w:t>
      </w:r>
      <w:proofErr w:type="spellStart"/>
      <w:r>
        <w:t>offbalance</w:t>
      </w:r>
      <w:proofErr w:type="spellEnd"/>
      <w:r>
        <w:t>-sheet exposures.</w:t>
      </w:r>
    </w:p>
    <w:p w14:paraId="4E7ECB62" w14:textId="468EA642" w:rsidR="00D144C3" w:rsidRDefault="00000000">
      <w:r>
        <w:t>Given that many of the new and proposed rules are highly complex, the full impact of regulatory reform will not be known until the rules are implemented and market practices develop under final</w:t>
      </w:r>
      <w:r w:rsidR="001C2B9A">
        <w:t>.</w:t>
      </w:r>
    </w:p>
    <w:p w14:paraId="714D49B6" w14:textId="77777777" w:rsidR="00D144C3" w:rsidRDefault="00000000">
      <w:r>
        <w:t>The bank’s Executive Board expects that the total capital ratio will decrease compared to December 2023 primarily driven by an expected increase in business activity.</w:t>
      </w:r>
    </w:p>
    <w:p w14:paraId="3D11C686" w14:textId="77777777" w:rsidR="00D144C3" w:rsidRDefault="00000000">
      <w:r>
        <w:t>There remains uncertainty and concerns about geopolitical risks, global central bank policy, inflation, the commercial real estate sector, and potential increases in regulatory capital requirements.</w:t>
      </w:r>
    </w:p>
    <w:p w14:paraId="6DF9E2CF" w14:textId="77777777" w:rsidR="00D144C3" w:rsidRDefault="00000000">
      <w:r>
        <w:t>These risks include liquidity, market, credit, operational, cybersecurity, climate, model, legal, compliance, conduct, regulatory, business environment and strategic risks, and reputational risks.</w:t>
      </w:r>
    </w:p>
    <w:p w14:paraId="267F2120" w14:textId="2794A5A1" w:rsidR="00D144C3" w:rsidRDefault="00000000">
      <w:r>
        <w:t>The following section covers the bank’s risk management structure which is consistent with GS Bank USA and GS Group and built around three core components</w:t>
      </w:r>
      <w:r w:rsidR="001C2B9A">
        <w:t xml:space="preserve"> </w:t>
      </w:r>
      <w:r>
        <w:t>governance, processes and people.</w:t>
      </w:r>
    </w:p>
    <w:p w14:paraId="7626A11D" w14:textId="0CA2DD78" w:rsidR="00D144C3" w:rsidRDefault="00000000">
      <w:r>
        <w:t>The GSBE Executive Board is also responsible for the annual review and approval of the GSBE Risk Appetite Statement.</w:t>
      </w:r>
    </w:p>
    <w:p w14:paraId="42FFC33B" w14:textId="77777777" w:rsidR="00D144C3" w:rsidRDefault="00000000">
      <w:r>
        <w:t>The RAS describes the levels and types of risk the bank is willing to assume within its risk capacity to achieve its strategic business objectives included in the bank’s business plan, while remaining in compliance with regulatory requirements.</w:t>
      </w:r>
    </w:p>
    <w:p w14:paraId="68F18546" w14:textId="77777777" w:rsidR="00D144C3" w:rsidRDefault="00000000">
      <w:r>
        <w:t>The Executive Board approves the business plan and is ultimately responsible for overseeing and setting strategy and risk appetite.</w:t>
      </w:r>
    </w:p>
    <w:p w14:paraId="1492BC47" w14:textId="77777777" w:rsidR="00D144C3" w:rsidRDefault="00000000">
      <w:r>
        <w:t>Internal Audit includes professionals with a broad range of audit and industry experience, including risk management expertise.</w:t>
      </w:r>
    </w:p>
    <w:p w14:paraId="5C4DAE35" w14:textId="77777777" w:rsidR="00D144C3" w:rsidRDefault="00000000">
      <w:r>
        <w:t>The three lines of defence structure promotes the accountability of first line risk takers, provides a framework for effective challenge by the second line and empowers independent review from the third line.</w:t>
      </w:r>
    </w:p>
    <w:p w14:paraId="2B210CDC" w14:textId="77777777" w:rsidR="00D144C3" w:rsidRDefault="00000000">
      <w:r>
        <w:t>While the first line of defence is responsible for management of their risk, the bank dedicates extensive resources to the second line of defence in order to ensure a strong oversight structure and an appropriate segregation of duties.</w:t>
      </w:r>
    </w:p>
    <w:p w14:paraId="2DF71316" w14:textId="77777777" w:rsidR="00D144C3" w:rsidRDefault="00000000">
      <w:r>
        <w:lastRenderedPageBreak/>
        <w:t>Stress tests are performed on a regular basis and are designed to ensure a comprehensive analysis of the bank’s vulnerabilities, and idiosyncratic risks combining financial and non-financial risks, including, but not limited to, credit, market, liquidity and funding, operational and compliance, strategic, systemic and emerging risks.</w:t>
      </w:r>
    </w:p>
    <w:p w14:paraId="7AA4118C" w14:textId="77777777" w:rsidR="00D144C3" w:rsidRDefault="00000000">
      <w:r>
        <w:t>Consistent with GS Group, the bank reinforces a culture of effective risk management, consistent with its risk appetite, in its training and development programmes, as well as in the way it evaluates performance, recognises and rewards people.</w:t>
      </w:r>
    </w:p>
    <w:p w14:paraId="034230E8" w14:textId="77777777" w:rsidR="00D144C3" w:rsidRDefault="00000000">
      <w:r>
        <w:t>The firm’s training and development programmes, including certain sessions led by the most senior leaders, are focused on the importance of risk management, client relationships and reputational excellence.</w:t>
      </w:r>
    </w:p>
    <w:p w14:paraId="1D5AF04D" w14:textId="77777777" w:rsidR="00D144C3" w:rsidRDefault="00000000">
      <w:r>
        <w:t>As part of the firm’s annual performance review process, the firm assesses reputational excellence, including how an employee exercises good risk management and reputational judgement, and adheres to the firm’s code of conduct and compliance policies.</w:t>
      </w:r>
    </w:p>
    <w:p w14:paraId="44C18068" w14:textId="77777777" w:rsidR="00D144C3" w:rsidRDefault="00000000">
      <w:r>
        <w:t>The Executive Board has ultimate responsibility for all activities in the bank, including oversight of risk, both directly and through delegation to various committees.</w:t>
      </w:r>
    </w:p>
    <w:p w14:paraId="4E67FCBB" w14:textId="77777777" w:rsidR="00D144C3" w:rsidRDefault="00000000">
      <w:r>
        <w:t>A series of committees within the bank with specific risk management mandates covering important aspects of the bank’s businesses also have oversight or decision-making responsibilities.</w:t>
      </w:r>
    </w:p>
    <w:p w14:paraId="065781CE" w14:textId="77777777" w:rsidR="00D144C3" w:rsidRDefault="00000000">
      <w:r>
        <w:t>The GSBE Risk Committee is responsible for the ongoing monitoring and control of all financial and non-financial risks associated with the bank’s activities.</w:t>
      </w:r>
    </w:p>
    <w:p w14:paraId="661B7694" w14:textId="77777777" w:rsidR="00D144C3" w:rsidRDefault="00000000">
      <w:r>
        <w:t>The GSBE Operational Risk and Resilience Committee provides oversight of the ongoing development and implementation of operational risk policies, framework, and methodologies, with oversight from the GSBE Risk Committee, and monitors the effectiveness of operational risk and resilience management.</w:t>
      </w:r>
    </w:p>
    <w:p w14:paraId="46A0F531" w14:textId="77777777" w:rsidR="00D144C3" w:rsidRDefault="00000000">
      <w:r>
        <w:t>The Committee is accountable for the implementation of business standards and practices, including reputational risk management, client service and conduct risk, within the scope of its mission.</w:t>
      </w:r>
    </w:p>
    <w:p w14:paraId="27EB2215" w14:textId="72DA5967" w:rsidR="00D144C3" w:rsidRDefault="00000000">
      <w:r>
        <w:t>The GSBE Credit Risk Council is responsible for</w:t>
      </w:r>
      <w:r w:rsidR="008A5EB1">
        <w:t xml:space="preserve"> </w:t>
      </w:r>
      <w:r>
        <w:t>ensuring that the bank has appropriate and effective credit risk management processes, and</w:t>
      </w:r>
      <w:r w:rsidR="008A5EB1">
        <w:t xml:space="preserve"> </w:t>
      </w:r>
      <w:r>
        <w:t>ongoing monitoring and review of credit risk exposure.</w:t>
      </w:r>
    </w:p>
    <w:p w14:paraId="02874BD6" w14:textId="77777777" w:rsidR="00D144C3" w:rsidRDefault="00000000">
      <w:r>
        <w:t>As an indirect wholly-owned subsidiary and integrated part of GS Group, the comprehensive regional and global risk governance framework in place forms an important part of the strategy and risk management process of the bank.</w:t>
      </w:r>
    </w:p>
    <w:p w14:paraId="1B74F9CE" w14:textId="77777777" w:rsidR="00D144C3" w:rsidRDefault="00000000">
      <w:r>
        <w:t>The integration into the firmwide risk management framework allows the bank to use the GS Group’s methods and systems and a consistent implementation of firmwide structures and principles while considering the entity specificities and governance structure.</w:t>
      </w:r>
    </w:p>
    <w:p w14:paraId="71A01BFE" w14:textId="77777777" w:rsidR="00D144C3" w:rsidRDefault="00000000">
      <w:r>
        <w:lastRenderedPageBreak/>
        <w:t>In addition, as a direct wholly-owned subsidiary of GS Bank USA, the bank’s risk management processes are embedded in the oversight provided by relevant governance bodies of GS Bank USA.</w:t>
      </w:r>
    </w:p>
    <w:p w14:paraId="265ECD0C" w14:textId="77777777" w:rsidR="00D144C3" w:rsidRDefault="00000000">
      <w:r>
        <w:t>GS Group has established a series of committees with specific risk management mandates.</w:t>
      </w:r>
    </w:p>
    <w:p w14:paraId="1DECFCE2" w14:textId="77777777" w:rsidR="00D144C3" w:rsidRDefault="00000000">
      <w:r>
        <w:t>The bank’s ICAAP is a comprehensive internal process which coherently integrates several key components including risk identification and materiality assessment, capital planning, and risk appetite, and is integrated into the broader risk management framework and decision making throughout the entity.</w:t>
      </w:r>
    </w:p>
    <w:p w14:paraId="27AE346F" w14:textId="77777777" w:rsidR="00D144C3" w:rsidRDefault="00000000">
      <w:r>
        <w:t>The consideration of risk appetite and the underlying risk management framework ensures that GSBE’s businesses are congruent with its strategy under both normal and stressed environments.</w:t>
      </w:r>
    </w:p>
    <w:p w14:paraId="611E40FE" w14:textId="77777777" w:rsidR="00D144C3" w:rsidRDefault="00000000">
      <w:r>
        <w:t>The bank believes that the risk management framework and the associated risk policies, procedures and systems in place are comprehensive and effective with regard to our profile and strategy.</w:t>
      </w:r>
    </w:p>
    <w:p w14:paraId="60B032BA" w14:textId="77777777" w:rsidR="00D144C3" w:rsidRDefault="00000000">
      <w:r>
        <w:t>A number of specialist committees and governance bodies sit within the broader risk management framework with responsibilities for the monitoring of specific risks against risk limits or thresholds and the escalation of any breaches as described above.</w:t>
      </w:r>
    </w:p>
    <w:p w14:paraId="6296FD55" w14:textId="77777777" w:rsidR="00D144C3" w:rsidRDefault="00000000">
      <w:r>
        <w:t>GSBE is fully integrated into the broader firmwide organisational structure and risk governance and applies a risk philosophy and risk management principles consistent with GS Group.</w:t>
      </w:r>
    </w:p>
    <w:p w14:paraId="55819812" w14:textId="77777777" w:rsidR="00D144C3" w:rsidRDefault="00000000">
      <w:r>
        <w:t>The bank further differentiates between trading counterparty risk, lending risk, deposit placement risk and settlement risk within its risk management approach.</w:t>
      </w:r>
    </w:p>
    <w:p w14:paraId="67B3BD7C" w14:textId="74DB7C26" w:rsidR="00D144C3" w:rsidRDefault="00000000">
      <w:r>
        <w:t>Regular reporting daily, weekly, monthly, quarterly on the bank’s credit exposures and credit concentrations to the bank’s CCO, CRO, GSBE Credit Risk Council, GSBE Risk Committee, and the Executive Board of the bank.</w:t>
      </w:r>
    </w:p>
    <w:p w14:paraId="75791ACE" w14:textId="51A36734" w:rsidR="00D144C3" w:rsidRDefault="00000000">
      <w:r>
        <w:t>Furthermore, the Executive Board or GSBE Risk Committee and the GSBE Credit Risk Council approves the framework that governs the setting of credit risk sub-limits at the bank level, which is delegated to Credit Risk.</w:t>
      </w:r>
    </w:p>
    <w:p w14:paraId="42064C18" w14:textId="2C1A6210" w:rsidR="00D144C3" w:rsidRDefault="00000000">
      <w:r>
        <w:t>Credit Risk is responsible for monitoring these limits and identifying and escalating to senior management and</w:t>
      </w:r>
      <w:r w:rsidR="00B72EEA">
        <w:t xml:space="preserve"> </w:t>
      </w:r>
      <w:r>
        <w:t>or the appropriate risk committee, on a timely basis, instances where limits have been exceeded.</w:t>
      </w:r>
    </w:p>
    <w:p w14:paraId="06A206EB" w14:textId="77777777" w:rsidR="00D144C3" w:rsidRDefault="00000000">
      <w:r>
        <w:t>GSBE does not have regulatory permission to compute risk weights in accordance with the Advanced Internal Ratings Based approach, which utilises internal assessments of each counterparty’s creditworthiness.</w:t>
      </w:r>
    </w:p>
    <w:p w14:paraId="10F022D1" w14:textId="77777777" w:rsidR="00D144C3" w:rsidRDefault="00000000">
      <w:r>
        <w:lastRenderedPageBreak/>
        <w:t>In order to assess enforceability of our right to setoff under netting and credit support agreements, GSBE evaluates various factors, including applicable bankruptcy laws, local statutes and regulatory provisions in the jurisdiction of the parties to the agreement.</w:t>
      </w:r>
    </w:p>
    <w:p w14:paraId="67745D4D" w14:textId="77777777" w:rsidR="00D144C3" w:rsidRDefault="00000000">
      <w:r>
        <w:t>Risk retentions are subject to the standard monitoring process with risk management actions such as hedging or disposals constrained by regulatory requirements.</w:t>
      </w:r>
    </w:p>
    <w:p w14:paraId="762C47B5" w14:textId="77777777" w:rsidR="00D144C3" w:rsidRDefault="00000000">
      <w:r>
        <w:t>Liquidity risk associated with securitisations is consistently managed as part of the bank’s overall liquidity risk management framework.</w:t>
      </w:r>
    </w:p>
    <w:p w14:paraId="1BC7EACF" w14:textId="01902198" w:rsidR="00D144C3" w:rsidRDefault="00000000">
      <w:r>
        <w:t>For additional details on GSBE’s risk management process and practices, see Credit Risk and Market Risk sections of this report, which also apply to securitisation positions covered in this chapter.</w:t>
      </w:r>
    </w:p>
    <w:p w14:paraId="5F87CB02" w14:textId="6DA4BB81" w:rsidR="00D144C3" w:rsidRDefault="00000000">
      <w:r>
        <w:t xml:space="preserve">For both risk management purposes positions subject to </w:t>
      </w:r>
      <w:proofErr w:type="spellStart"/>
      <w:r>
        <w:t>VaR</w:t>
      </w:r>
      <w:proofErr w:type="spellEnd"/>
      <w:r>
        <w:t xml:space="preserve"> limits and regulatory capital calculations, the firm uses a single VaR model, which captures risks including those related to interest rates, equity prices, currency rates and commodity prices.</w:t>
      </w:r>
    </w:p>
    <w:p w14:paraId="7783F453" w14:textId="77777777" w:rsidR="00D144C3" w:rsidRDefault="00000000">
      <w:r>
        <w:t>Prior to implementation in production, any changes to those models are subject to validation and approval by Model Risk Management.</w:t>
      </w:r>
    </w:p>
    <w:p w14:paraId="1C4103DF" w14:textId="77777777" w:rsidR="00D144C3" w:rsidRDefault="00000000">
      <w:r>
        <w:t>In addition, hypothetical net revenues used in GSBE’s Regulatory VaR backtesting relate only to positions which are included in Regulatory VaR and as noted above, differ from positions included in the bank’s risk management VaR.</w:t>
      </w:r>
    </w:p>
    <w:p w14:paraId="053E5543" w14:textId="77777777" w:rsidR="00D144C3" w:rsidRDefault="00000000">
      <w:r>
        <w:t>The GSBE Asset and Liability Committee and Risk Committee are the primary oversight bodies responsible for reviewing and managing GSBE’s IRRBB and overseeing the strategic implementation of risk management activities.</w:t>
      </w:r>
    </w:p>
    <w:p w14:paraId="4359973F" w14:textId="77777777" w:rsidR="00D144C3" w:rsidRDefault="00000000">
      <w:r>
        <w:t>GSBE’s operational risk management framework is designed to comply with the operational risk measurement rules under the Capital Framework at GS Group level and has evolved based on the changing needs of its businesses and regulatory guidance, including at the GSBE entity level.</w:t>
      </w:r>
    </w:p>
    <w:p w14:paraId="5F0C36A8" w14:textId="77777777" w:rsidR="00D144C3" w:rsidRDefault="00000000">
      <w:r>
        <w:t>Risk Measurement GSBE measures operational risk exposure using both statistical modelling and scenario analyses, which involves qualitative and quantitative assessments of internal and external operational risk event data and internal control factors for each of our businesses.</w:t>
      </w:r>
    </w:p>
    <w:p w14:paraId="7299C503" w14:textId="77777777" w:rsidR="00D144C3" w:rsidRDefault="00000000">
      <w:r>
        <w:t>The model risk management framework is consistently applied across the firm, with the bank’s Model Risk function being an integral part of the GS Group’s Model Risk function.</w:t>
      </w:r>
    </w:p>
    <w:p w14:paraId="1027F935" w14:textId="77777777" w:rsidR="00D144C3" w:rsidRDefault="00000000">
      <w:r>
        <w:t>The GSBE Risk Committee, in coordination with Model Risk, is responsible for the ongoing oversight of model risk within GSBE.</w:t>
      </w:r>
    </w:p>
    <w:p w14:paraId="68901622" w14:textId="77777777" w:rsidR="00D144C3" w:rsidRDefault="00000000">
      <w:r>
        <w:t xml:space="preserve">This review includes an analysis of the model documentation, assumptions, input and output data, limitations and uncertainties, independent testing, an assessment of the </w:t>
      </w:r>
      <w:r>
        <w:lastRenderedPageBreak/>
        <w:t>appropriateness of the methodology used, verification of compliance with model development and implementation standards, and assessment of adequacy of the ongoing monitoring plan.</w:t>
      </w:r>
    </w:p>
    <w:p w14:paraId="7AADF2CF" w14:textId="77777777" w:rsidR="00D144C3" w:rsidRDefault="00000000">
      <w:r>
        <w:t>Liquidity Risk, which is independent of the revenueproducing units and Treasury, and reports to the bank’s CRO, has primary responsibility for identifying, monitoring and managing the bank’s liquidity risk through oversight across the bank’s businesses and the establishment of stress testing and limits frameworks.</w:t>
      </w:r>
    </w:p>
    <w:p w14:paraId="7E48F4F1" w14:textId="77777777" w:rsidR="00D144C3" w:rsidRDefault="00000000">
      <w:r>
        <w:t>GSBE has a robust liquidity risk management framework in place, which the bank considers adequate.</w:t>
      </w:r>
    </w:p>
    <w:p w14:paraId="4FE9CA98" w14:textId="77777777" w:rsidR="00D144C3" w:rsidRDefault="00000000">
      <w:r>
        <w:t>Physical risk is the risk that asset values may decline as a result of changes in the climate, while transition risk is the risk that asset values may decline because of changes in climate policies or changes in the underlying economy due to de-carbonisation.</w:t>
      </w:r>
    </w:p>
    <w:p w14:paraId="570E0B99" w14:textId="3B2832F0" w:rsidR="00D144C3" w:rsidRDefault="00000000">
      <w:r>
        <w:t>Informed by the results of the bank’s risk identification process, GSBE has developed and implemented methodologies for both physical and transition risk, to assess the potential impact of climate-related and environmental C&amp;E risks and perform scenario analysis to identify vulnerabilities and risks.</w:t>
      </w:r>
    </w:p>
    <w:p w14:paraId="50DFD961" w14:textId="77777777" w:rsidR="00D144C3" w:rsidRDefault="00000000">
      <w:r>
        <w:t>This foundation of quantification propels robust integration of climate-related risk into relevant risk management processes and transaction considerations.</w:t>
      </w:r>
    </w:p>
    <w:p w14:paraId="36A32E30" w14:textId="77777777" w:rsidR="00D144C3" w:rsidRDefault="00000000">
      <w:r>
        <w:t>In both the bank’s physical and transition risk scenario analysis, GSBE leverages open-source data and models used by the scientific and climate policy communities.</w:t>
      </w:r>
    </w:p>
    <w:p w14:paraId="2D2FBA03" w14:textId="77777777" w:rsidR="00D144C3" w:rsidRDefault="00000000">
      <w:r>
        <w:t>The bank has developed a climate scoring approach for a number of significant physical risks, such as flooding, water stress, wildfire, etc.</w:t>
      </w:r>
    </w:p>
    <w:p w14:paraId="1AFFBF03" w14:textId="77777777" w:rsidR="00D144C3" w:rsidRDefault="00000000">
      <w:r>
        <w:t>Transition risk emerges from policy, legal, technology and market changes resulting from the shift to a lower carbon economy.</w:t>
      </w:r>
    </w:p>
    <w:p w14:paraId="604F9939" w14:textId="77777777" w:rsidR="00D144C3" w:rsidRDefault="00000000">
      <w:r>
        <w:t>For example, under certain scenarios that implement new policies and regulations supportive of the Paris Agreement, carbon-intensive sectors may suffer from transition risk especially as the market experiences changed preferences.</w:t>
      </w:r>
    </w:p>
    <w:p w14:paraId="68B61651" w14:textId="77777777" w:rsidR="00D144C3" w:rsidRDefault="00000000">
      <w:r>
        <w:t>NGFS scenarios leverage are open-source models used by the climate policy community, which align with industry best-practices for transition risk.</w:t>
      </w:r>
    </w:p>
    <w:p w14:paraId="2C830FDF" w14:textId="77777777" w:rsidR="00D144C3" w:rsidRDefault="00000000">
      <w:r>
        <w:t>As a result, the bank model transition risk by generating risk factor shocks such as equity shocks, credit spread shocks and credit rating shocks by country and by industry under different climate policy scenarios.</w:t>
      </w:r>
    </w:p>
    <w:p w14:paraId="3B04ADD0" w14:textId="77777777" w:rsidR="00D144C3" w:rsidRDefault="00000000">
      <w:r>
        <w:t>Under the current approach, GSBE has estimated the magnitude of potential losses in equity investments and wholesale loans across climate scenario pathways.</w:t>
      </w:r>
    </w:p>
    <w:p w14:paraId="3D8CC933" w14:textId="77777777" w:rsidR="00D144C3" w:rsidRDefault="00000000">
      <w:r>
        <w:lastRenderedPageBreak/>
        <w:t>GSBE continues to enhance climate risk assessments through developing versatile stress testing capabilities and integrating considerations of the broader climate-related framework at relevant stages of the transaction underwriting process.</w:t>
      </w:r>
    </w:p>
    <w:p w14:paraId="5D0F6BB0" w14:textId="1036FFC0" w:rsidR="00D144C3" w:rsidRDefault="00000000">
      <w:r>
        <w:t>In the assessment of the bank’s climate risk drivers and their transmission channels, GSBE also recognize the importance of categorizing climate risks and their integration into our existing risk practices across risk categories credit, market, liquidity, operational and have integrated climate change into risk management processes and procedures.</w:t>
      </w:r>
    </w:p>
    <w:p w14:paraId="33A327B0" w14:textId="77777777" w:rsidR="00D144C3" w:rsidRDefault="00000000">
      <w:r>
        <w:t>Market Risk: considers climate-related and environmental impacts in the firm’s equity investments through the current physical climate risk assessment performed as a part of transaction due diligence.</w:t>
      </w:r>
    </w:p>
    <w:p w14:paraId="1536623B" w14:textId="77777777" w:rsidR="00D144C3" w:rsidRDefault="00000000">
      <w:r>
        <w:t>The bank is committed to continue enhancing climate risk 1 Due to a lack of historical climate-specific liquidity stress periods, the stress outflow calibration incorporates management judgment and is informed by the relative severity of non-climate specific liquidity stress periods.</w:t>
      </w:r>
    </w:p>
    <w:p w14:paraId="62633C5C" w14:textId="77777777" w:rsidR="00D144C3" w:rsidRDefault="00000000">
      <w:r>
        <w:t>This climate scenario analysis assessment specifically measures the liquidity impacts in a scenario where government policy changes result in more expensive access to capital markets for high emission intensity companies.</w:t>
      </w:r>
    </w:p>
    <w:p w14:paraId="140F87D7" w14:textId="77777777" w:rsidR="00D144C3" w:rsidRDefault="00000000">
      <w:r>
        <w:t>Credit Risk assesses the counterparty’s disclosures and available public statements on emission reduction targets and assigns an appropriate mitigation score.</w:t>
      </w:r>
    </w:p>
    <w:p w14:paraId="32DB0498" w14:textId="77777777" w:rsidR="00D144C3" w:rsidRDefault="00000000">
      <w:r>
        <w:t>A significant focus of the bank’s climate risk management program is appropriate integration in our first line business strategy.</w:t>
      </w:r>
    </w:p>
    <w:p w14:paraId="174C0B9F" w14:textId="77777777" w:rsidR="00D144C3" w:rsidRDefault="00000000">
      <w:r>
        <w:t>The firm, including GSBE, incorporates climate-related and environmental risk assessments in select transaction underwriting decisions and continues to further strengthen business adoption of climaterelated and environmental risk management.</w:t>
      </w:r>
    </w:p>
    <w:p w14:paraId="5B66826A" w14:textId="77777777" w:rsidR="00D144C3" w:rsidRDefault="00000000">
      <w:r>
        <w:t>This includes oversight by the bank’s Executive Board and Risk Committee.</w:t>
      </w:r>
    </w:p>
    <w:p w14:paraId="06A60A6E" w14:textId="77777777" w:rsidR="00D144C3" w:rsidRDefault="00000000">
      <w:r>
        <w:t>Recruitment and Diversity Policy As part of the Goldman Sachs Group, GSBE implements the global principles, measures, and goals for diversity at Goldman Sachs.</w:t>
      </w:r>
    </w:p>
    <w:p w14:paraId="2AEAE359" w14:textId="77777777" w:rsidR="00D144C3" w:rsidRDefault="00000000">
      <w:r>
        <w:t>GSBE considers diversity to be a priority for the bank and is committed to promoting the participation of qualified women in leadership positions.</w:t>
      </w:r>
    </w:p>
    <w:p w14:paraId="10208874" w14:textId="77777777" w:rsidR="00D144C3" w:rsidRDefault="00000000">
      <w:r>
        <w:t>He is responsible for GSBE’s Compliance and Financial Crime Compliance functions.</w:t>
      </w:r>
    </w:p>
    <w:p w14:paraId="4B1F89AE" w14:textId="77777777" w:rsidR="00D144C3" w:rsidRDefault="00000000">
      <w:r>
        <w:t>From 2013 to 2022 he was a managing director at GSI and served as Legal Entity Controller with oversight of other EMEA Financial Reporting teams.</w:t>
      </w:r>
    </w:p>
    <w:p w14:paraId="13F1B340" w14:textId="77777777" w:rsidR="00D144C3" w:rsidRDefault="00000000">
      <w:r>
        <w:t>Rollins was global head of Resource Allocation for Corporate Treasury She has also led unsecured funding and regulatory policy teams for Corporate Treasury.</w:t>
      </w:r>
    </w:p>
    <w:p w14:paraId="3A766C53" w14:textId="77777777" w:rsidR="00D144C3" w:rsidRDefault="00000000">
      <w:r>
        <w:lastRenderedPageBreak/>
        <w:t>Chryssikou co-chairs the Structured Investments Product Committee and the UK Consumer Duty Oversight Committee and is a member of the Securities Division Client Index and Strategy Committee.</w:t>
      </w:r>
    </w:p>
    <w:p w14:paraId="6C269054" w14:textId="19F785C5" w:rsidR="00D144C3" w:rsidRDefault="00000000">
      <w:r>
        <w:t>The remuneration philosophy and the objectives of the remuneration programme for the firm are reflected in the Compensation Principles for GS Group, as posted on the Goldman Sachs public websit</w:t>
      </w:r>
      <w:r w:rsidR="00044F78">
        <w:t>e.</w:t>
      </w:r>
    </w:p>
    <w:p w14:paraId="1E7BE11A" w14:textId="7A7EF8B8" w:rsidR="00D144C3" w:rsidRDefault="00000000">
      <w:r>
        <w:t>Compensation-related Risk Assessment The GS Group’s Chief Risk Officer CRO presented an annual compensation-related risk assessment to the Compensation Committee, meeting jointly with the Risk Committee of the GS Board, to assist the Compensation Committee in its assessment of the effectiveness of the firm’s remuneration programme, and particularly, whether the programme is consistent with the principle that variable remuneration does not encourage employees to expose the firm to imprudent risk.</w:t>
      </w:r>
    </w:p>
    <w:p w14:paraId="11775C38" w14:textId="77777777" w:rsidR="00D144C3" w:rsidRDefault="00000000">
      <w:r>
        <w:t>In addition, as part of the remuneration determination process, members of the firm’s Compliance, Risk, Employment Law Group and Employee Relations functions make arrangements for business and business unit management to take into consideration certain compliance, risk or control matters when determining remuneration of individuals.</w:t>
      </w:r>
    </w:p>
    <w:p w14:paraId="2B19858B" w14:textId="77777777" w:rsidR="00D144C3" w:rsidRDefault="00000000">
      <w:r>
        <w:t>Before any individual remuneration decisions are finalised, Employee Relations and the Employment Law Group assess the recommended remuneration for relevant individuals in the context of overall performance and other factors, and recommendations are reviewed with respect to comparators.</w:t>
      </w:r>
    </w:p>
    <w:p w14:paraId="0D24FDFD" w14:textId="77777777" w:rsidR="00D144C3" w:rsidRDefault="00000000">
      <w:r>
        <w:t>The firm’s remuneration practices provide for variable remuneration determinations to be made on a discretionary basis.</w:t>
      </w:r>
    </w:p>
    <w:p w14:paraId="5F309A3E" w14:textId="77777777" w:rsidR="00D144C3" w:rsidRDefault="00000000">
      <w:r>
        <w:t>The firm is committed to aligning variable remuneration with performance.</w:t>
      </w:r>
    </w:p>
    <w:p w14:paraId="669A135D" w14:textId="77777777" w:rsidR="00D144C3" w:rsidRDefault="00000000">
      <w:r>
        <w:t>The firm believes that the firm’s senior leaders have responsibility for overall performance and, as a result, senior employees have experienced more volatility in their remuneration year-over-year, particularly in periods when the firm’s performance declined significantly.</w:t>
      </w:r>
    </w:p>
    <w:p w14:paraId="3FE5C4A1" w14:textId="77777777" w:rsidR="00D144C3" w:rsidRDefault="00000000">
      <w:r>
        <w:t>This process reflects input from a number of employees, including supervisors, peers and those who are junior to the employee, regarding an array of performance measures.</w:t>
      </w:r>
    </w:p>
    <w:p w14:paraId="6CB53944" w14:textId="77777777" w:rsidR="00D144C3" w:rsidRDefault="00000000">
      <w:r>
        <w:t>Compliance, Risk Management, Code of Conduct, and Firm Reputation.</w:t>
      </w:r>
    </w:p>
    <w:p w14:paraId="7F62CB4D" w14:textId="77777777" w:rsidR="00D144C3" w:rsidRDefault="00000000">
      <w:r>
        <w:t>Guidelines are provided to assist compensation managers when exercising discretion during the remuneration process to promote appropriate consideration of the different risks presented by the firm’s businesses.</w:t>
      </w:r>
    </w:p>
    <w:p w14:paraId="0C1E54DE" w14:textId="77777777" w:rsidR="00D144C3" w:rsidRDefault="00000000">
      <w:r>
        <w:t>Further, to ensure the independence of control function employees, remuneration for those employees is not determined by individuals in revenue-producing positions but rather by the management of the relevant control function.</w:t>
      </w:r>
    </w:p>
    <w:p w14:paraId="02AA80EC" w14:textId="77777777" w:rsidR="00D144C3" w:rsidRDefault="00000000">
      <w:r>
        <w:lastRenderedPageBreak/>
        <w:t>Consistent with prior years, for 2023 certain employees receive a portion of their variable remuneration as a sharebased award that is subject to a number of terms and conditions that could result in forfeiture or recapture.</w:t>
      </w:r>
    </w:p>
    <w:p w14:paraId="6220A105" w14:textId="7418A772" w:rsidR="00D144C3" w:rsidRDefault="00000000">
      <w:r>
        <w:t xml:space="preserve">In the 2023 annual compensation-related risk assessment presented to the Compensation Committee, meeting jointly with the Risk Committee of the Group Board, GS Group’s CRO confirmed that the various components of the firm’s remuneration </w:t>
      </w:r>
      <w:proofErr w:type="spellStart"/>
      <w:r>
        <w:t>programmes</w:t>
      </w:r>
      <w:proofErr w:type="spellEnd"/>
      <w:r>
        <w:t xml:space="preserve"> and policies for example, process, structure and governance balanced risk and incentives in a manner that does not encourage imprudent risk-taking.</w:t>
      </w:r>
    </w:p>
    <w:p w14:paraId="18CE1B02" w14:textId="77777777" w:rsidR="00D144C3" w:rsidRDefault="00000000">
      <w:r>
        <w:t>In general, the portion paid in the form of a share-based award increases as variable remuneration increases and, for Material Risk Takers, is set to ensure compliance with the KWG, IVV and EBA Guidelines.</w:t>
      </w:r>
    </w:p>
    <w:p w14:paraId="35EECC35" w14:textId="77777777" w:rsidR="00D144C3" w:rsidRDefault="00000000">
      <w:r>
        <w:t>The variable remuneration programme is flexible to allow the firm to respond to changes in market conditions and to maintain its pay-for-performance approach.</w:t>
      </w:r>
    </w:p>
    <w:p w14:paraId="251CD4BD" w14:textId="77777777" w:rsidR="00D144C3" w:rsidRDefault="00000000">
      <w:r>
        <w:t>Share-Based Remuneration The firm believes that remuneration should encourage a longterm, firmwide approach to performance and discourage imprudent risk-taking.</w:t>
      </w:r>
    </w:p>
    <w:p w14:paraId="5E1A1513" w14:textId="70DCC350" w:rsidR="00D144C3" w:rsidRDefault="00000000">
      <w:r>
        <w:t>Paying a significant portion of variable remuneration in the form of share-based remuneration that delivers over time, changes in value according to the price of shares of common stock shares of GS Group and is subject to forfeiture or recapture encourages a long-term, firmwide focus because its value is realised through long-term responsible behaviour and the financial performance of the firm.</w:t>
      </w:r>
    </w:p>
    <w:p w14:paraId="29A75F82" w14:textId="77777777" w:rsidR="00D144C3" w:rsidRDefault="00000000">
      <w:r>
        <w:t>Hedging: The firm’s anti-hedging policy ensures employees maintain the intended exposure to the firm’s stock performance.</w:t>
      </w:r>
    </w:p>
    <w:sectPr w:rsidR="00D144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05740046">
    <w:abstractNumId w:val="8"/>
  </w:num>
  <w:num w:numId="2" w16cid:durableId="1848522795">
    <w:abstractNumId w:val="6"/>
  </w:num>
  <w:num w:numId="3" w16cid:durableId="1034188468">
    <w:abstractNumId w:val="5"/>
  </w:num>
  <w:num w:numId="4" w16cid:durableId="1156146700">
    <w:abstractNumId w:val="4"/>
  </w:num>
  <w:num w:numId="5" w16cid:durableId="1672443037">
    <w:abstractNumId w:val="7"/>
  </w:num>
  <w:num w:numId="6" w16cid:durableId="1146239859">
    <w:abstractNumId w:val="3"/>
  </w:num>
  <w:num w:numId="7" w16cid:durableId="1098209200">
    <w:abstractNumId w:val="2"/>
  </w:num>
  <w:num w:numId="8" w16cid:durableId="1600602925">
    <w:abstractNumId w:val="1"/>
  </w:num>
  <w:num w:numId="9" w16cid:durableId="1188367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78"/>
    <w:rsid w:val="0006063C"/>
    <w:rsid w:val="0015074B"/>
    <w:rsid w:val="001C2B9A"/>
    <w:rsid w:val="0029639D"/>
    <w:rsid w:val="00326F90"/>
    <w:rsid w:val="008A5EB1"/>
    <w:rsid w:val="008E0BD7"/>
    <w:rsid w:val="00A135A9"/>
    <w:rsid w:val="00AA1D8D"/>
    <w:rsid w:val="00B47730"/>
    <w:rsid w:val="00B72EEA"/>
    <w:rsid w:val="00CB0664"/>
    <w:rsid w:val="00CE0D96"/>
    <w:rsid w:val="00D144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533C0"/>
  <w14:defaultImageDpi w14:val="300"/>
  <w15:docId w15:val="{1A27D550-DCFB-CE4D-9724-BC4A4A24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2917</Words>
  <Characters>16627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7</cp:revision>
  <dcterms:created xsi:type="dcterms:W3CDTF">2013-12-23T23:15:00Z</dcterms:created>
  <dcterms:modified xsi:type="dcterms:W3CDTF">2025-07-23T21:08:00Z</dcterms:modified>
  <cp:category/>
</cp:coreProperties>
</file>