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C13A" w14:textId="345AEF0A" w:rsidR="003F37FA" w:rsidRDefault="00000000">
      <w:r>
        <w:t>As always, we hold fast to our commitment to corporate responsibility, including helping to create a stronger, more inclusive economy</w:t>
      </w:r>
      <w:r w:rsidR="00C952D9">
        <w:t xml:space="preserve"> </w:t>
      </w:r>
      <w:r>
        <w:t>from supporting work skills training programs around the world to financing affordable housing and small businesses to making investments in cities like Detroit that show how business and government leaders can work together to solve problems.</w:t>
      </w:r>
    </w:p>
    <w:p w14:paraId="4A30D624" w14:textId="1ED1563A" w:rsidR="003F37FA" w:rsidRDefault="00000000">
      <w:r>
        <w:t>As you know, we are champions of banking’s essential role in a community</w:t>
      </w:r>
      <w:r w:rsidR="00C952D9">
        <w:t xml:space="preserve"> </w:t>
      </w:r>
      <w:r>
        <w:t>its potential for bringing people together, for enabling companies and individuals to attain their goals, and for being a source of strength in difficult times.</w:t>
      </w:r>
    </w:p>
    <w:p w14:paraId="4E93F786" w14:textId="77777777" w:rsidR="003F37FA" w:rsidRDefault="00000000">
      <w:r>
        <w:t>It is clear that our financial discipline, constant investment in innovation and ongoing development of our people have enabled us to achieve this consistency and commitment.</w:t>
      </w:r>
    </w:p>
    <w:p w14:paraId="1D8B9E5B" w14:textId="77777777" w:rsidR="003F37FA" w:rsidRDefault="00000000">
      <w:r>
        <w:t>These allow us to maintain a fortress balance sheet, constantly invest and nurture talent, fully satisfy regulators, continually improve risk, governance and controls, and serve customers and clients while lifting up communities worldwide.</w:t>
      </w:r>
    </w:p>
    <w:p w14:paraId="1046D843" w14:textId="3A49A8CC" w:rsidR="003F37FA" w:rsidRDefault="00000000">
      <w:proofErr w:type="gramStart"/>
      <w:r>
        <w:t>However</w:t>
      </w:r>
      <w:proofErr w:type="gramEnd"/>
      <w:r>
        <w:t xml:space="preserve"> you view the world</w:t>
      </w:r>
      <w:r w:rsidR="00C952D9">
        <w:t xml:space="preserve"> </w:t>
      </w:r>
      <w:r>
        <w:t>its complexity, risks and opportunities</w:t>
      </w:r>
      <w:r w:rsidR="00C952D9">
        <w:t xml:space="preserve"> </w:t>
      </w:r>
      <w:r>
        <w:t xml:space="preserve">a company’s prosperity </w:t>
      </w:r>
      <w:proofErr w:type="gramStart"/>
      <w:r>
        <w:t>requires</w:t>
      </w:r>
      <w:proofErr w:type="gramEnd"/>
      <w:r>
        <w:t xml:space="preserve"> a great team of people with guts, brains, integrity, enormous capabilities and high standards of professional excellence to ensure its ongoing success.</w:t>
      </w:r>
    </w:p>
    <w:p w14:paraId="08E33598" w14:textId="77777777" w:rsidR="003F37FA" w:rsidRDefault="00000000">
      <w:r>
        <w:t>We have a robust, well-established risk and control framework that helps us proactively stay in front of AI-related risks, particularly as the regulatory landscape evolves.</w:t>
      </w:r>
    </w:p>
    <w:p w14:paraId="0F8BC4FD" w14:textId="77777777" w:rsidR="003F37FA" w:rsidRDefault="00000000">
      <w:r>
        <w:t>We also created a new strategic security forum to focus on emerging and evolving risks, including trade wars, pandemics, cybersecurity and actual wars, to name just a few.</w:t>
      </w:r>
    </w:p>
    <w:p w14:paraId="0010DD4E" w14:textId="77777777" w:rsidR="003F37FA" w:rsidRDefault="00000000">
      <w:r>
        <w:t>We are quite clear that whether our efforts are inspired by the goodness of our hearts as philanthropy or venture-type investing or good business, we try to measure the actual outcomes.</w:t>
      </w:r>
    </w:p>
    <w:p w14:paraId="2206A013" w14:textId="77777777" w:rsidR="003F37FA" w:rsidRDefault="00000000">
      <w:r>
        <w:t>We now partner with 18 schools across the United States to boost recruitment connections, expand career pathways for Black students and other students, and support their long-term development and financial health.</w:t>
      </w:r>
    </w:p>
    <w:p w14:paraId="7337CF38" w14:textId="77777777" w:rsidR="003F37FA" w:rsidRDefault="00000000">
      <w:r>
        <w:t>This firmwide effort sponsors recruitment, mentorship and development programs to support the military members and veterans working at JPMorgan Chase.</w:t>
      </w:r>
    </w:p>
    <w:p w14:paraId="3F158869" w14:textId="77777777" w:rsidR="003F37FA" w:rsidRDefault="00000000">
      <w:r>
        <w:t>In 2023, VJM announced the creation of its Advisory Board, which is composed of 14 corporate leaders, to provide strategic direction and oversight of VJM as it continues to expand its commitment to support economic opportunities for veterans and military spouses, including its goal to hire 2 million veterans and 200,000 military spouses by 2030.</w:t>
      </w:r>
    </w:p>
    <w:p w14:paraId="381F01BB" w14:textId="77777777" w:rsidR="003F37FA" w:rsidRDefault="00000000">
      <w:r>
        <w:t>The firm’s Office of Disability Inclusion continues to lead strategy and initiatives aimed at advancing economic opportunity for people with disabilities.</w:t>
      </w:r>
    </w:p>
    <w:p w14:paraId="189237C1" w14:textId="5A922783" w:rsidR="003F37FA" w:rsidRDefault="00000000">
      <w:r>
        <w:lastRenderedPageBreak/>
        <w:t>To help entrepreneurs and small businesses make the transition from community lending to accessing capital from traditional financial institutions, we created a new job</w:t>
      </w:r>
      <w:r w:rsidR="00C952D9">
        <w:t xml:space="preserve"> </w:t>
      </w:r>
      <w:r>
        <w:t>senior business consultant</w:t>
      </w:r>
      <w:r w:rsidR="00C952D9">
        <w:t xml:space="preserve"> </w:t>
      </w:r>
      <w:r>
        <w:t>to provide support.</w:t>
      </w:r>
    </w:p>
    <w:p w14:paraId="3C71B244" w14:textId="77777777" w:rsidR="003F37FA" w:rsidRDefault="00000000">
      <w:r>
        <w:t>Since 2020, these consultants have mentored more than 5,500 business owners, helping them improve their operations, grow revenue and network with others in the local business community.</w:t>
      </w:r>
    </w:p>
    <w:p w14:paraId="70D0BBA8" w14:textId="77777777" w:rsidR="003F37FA" w:rsidRDefault="00000000">
      <w:r>
        <w:t>The organizing principles that define the business and community investments we make and how we best achieve an overall impact in local economies were heavily influenced by our experience in Detroit.</w:t>
      </w:r>
    </w:p>
    <w:p w14:paraId="12BC1DE3" w14:textId="64F9B8A8" w:rsidR="003F37FA" w:rsidRDefault="00000000">
      <w:r>
        <w:t>We brought employees from around the world to Detroit to assist with its recovery</w:t>
      </w:r>
      <w:r w:rsidR="00C952D9">
        <w:t xml:space="preserve"> </w:t>
      </w:r>
      <w:r>
        <w:t>from creating a scoring model for a nonprofit to helping prioritize neighborhoods for development funding to devising an implementation plan for an integrated talent management system.</w:t>
      </w:r>
    </w:p>
    <w:p w14:paraId="55D338B3" w14:textId="77777777" w:rsidR="003F37FA" w:rsidRDefault="00000000">
      <w:r>
        <w:t>We saw this in the early days of our investment when we visited our partners at Focus, HOPE, a training program designed to help Detroiters develop skills for high-demand jobs.</w:t>
      </w:r>
    </w:p>
    <w:p w14:paraId="2332FD73" w14:textId="77777777" w:rsidR="003F37FA" w:rsidRDefault="00000000">
      <w:r>
        <w:t>By investing in programs like Focus, HOPE, we have been able to help bridge local skills gaps by training people for in-demand jobs in communities like Dallas, Miami and Washington, D.</w:t>
      </w:r>
    </w:p>
    <w:p w14:paraId="7631F71F" w14:textId="77777777" w:rsidR="003F37FA" w:rsidRDefault="00000000">
      <w:r>
        <w:t>Between 2019 and 2023, we supported more than 2 million people through our extensive learning and career programming around the world.</w:t>
      </w:r>
    </w:p>
    <w:p w14:paraId="75E25200" w14:textId="77777777" w:rsidR="003F37FA" w:rsidRDefault="00000000">
      <w:r>
        <w:t>This focus is part of our recently announced plan to build an additional 500 branches and hire 3,500 employees over the next three years.</w:t>
      </w:r>
    </w:p>
    <w:p w14:paraId="0670BFDE" w14:textId="77777777" w:rsidR="003F37FA" w:rsidRDefault="00000000">
      <w:r>
        <w:t>To date, we have invested more than $110 million in equity in diverse financial institutions and provided over $260 million in incremental financing to community development financial institutions to support communities that lack access to traditional financing.</w:t>
      </w:r>
    </w:p>
    <w:p w14:paraId="2E7D507C" w14:textId="77777777" w:rsidR="003F37FA" w:rsidRDefault="00000000">
      <w:r>
        <w:t>We’re thoughtfully continuing our diversity, equity and inclusion efforts.</w:t>
      </w:r>
    </w:p>
    <w:p w14:paraId="18857EAA" w14:textId="03FCD3B1" w:rsidR="003F37FA" w:rsidRDefault="00000000">
      <w:r>
        <w:t>The investment required to meet climate goals</w:t>
      </w:r>
      <w:r w:rsidR="00C952D9">
        <w:t xml:space="preserve"> </w:t>
      </w:r>
      <w:r>
        <w:t>estimated at over $5 trillion annually</w:t>
      </w:r>
      <w:r w:rsidR="00C952D9">
        <w:t xml:space="preserve"> </w:t>
      </w:r>
      <w:r>
        <w:t>could generate economywide growth and opportunity at a scale the world has not seen since the Industrial Revolution.</w:t>
      </w:r>
    </w:p>
    <w:p w14:paraId="5458FC86" w14:textId="77777777" w:rsidR="003F37FA" w:rsidRDefault="00000000">
      <w:r>
        <w:t>The task for industry, policymakers and finance is to help formulate solutions that support the transition to a low-carbon economy, balancing affordable, reliable access to energy with generating economic growth.</w:t>
      </w:r>
    </w:p>
    <w:p w14:paraId="74DC866E" w14:textId="77777777" w:rsidR="003F37FA" w:rsidRDefault="00000000">
      <w:r>
        <w:t>Public acceptance of building and advancing the infrastructure needed to meet climate goals is at the heart of progress.</w:t>
      </w:r>
    </w:p>
    <w:p w14:paraId="4B1E1D6D" w14:textId="77777777" w:rsidR="003F37FA" w:rsidRDefault="00000000">
      <w:r>
        <w:lastRenderedPageBreak/>
        <w:t>Ensuring public support and social license to operate requires better engagement strategies, including widespread stakeholder education about the benefits of these technologies for local communities.</w:t>
      </w:r>
    </w:p>
    <w:p w14:paraId="5D5BB4FD" w14:textId="77777777" w:rsidR="003F37FA" w:rsidRDefault="00000000">
      <w:r>
        <w:t>This includes helping to ensure that workers are trained in the skills for the future, such as through improved engineering schools and job training programs.</w:t>
      </w:r>
    </w:p>
    <w:p w14:paraId="223B384F" w14:textId="77777777" w:rsidR="003F37FA" w:rsidRDefault="00000000">
      <w:r>
        <w:t>A concerted focus to train electricians can help the United States meet some of its climate goals while providing well-paying jobs that do not require a fouryear college degree.</w:t>
      </w:r>
    </w:p>
    <w:p w14:paraId="54EC05D7" w14:textId="77777777" w:rsidR="003F37FA" w:rsidRDefault="00000000">
      <w:r>
        <w:t>We think we have some of the best-in-class environmental, social and risk standards because we have invested in our own in-house experts and matured our own risk management processes over the years.</w:t>
      </w:r>
    </w:p>
    <w:p w14:paraId="7DA8EC75" w14:textId="77777777" w:rsidR="003F37FA" w:rsidRDefault="00000000">
      <w:r>
        <w:t>We hope and believe that this will be found for example, through carbon capture, improved batteries, hydrogen or other measures.</w:t>
      </w:r>
    </w:p>
    <w:p w14:paraId="54843F29" w14:textId="77777777" w:rsidR="003F37FA" w:rsidRDefault="00000000">
      <w:r>
        <w:t>This group will coordinate and inform our work across all established industry groups from auto to real estate, energy, agriculture and others and includes hundreds of employees devoted to these efforts.</w:t>
      </w:r>
    </w:p>
    <w:p w14:paraId="7077EF11" w14:textId="77777777" w:rsidR="003F37FA" w:rsidRDefault="00000000">
      <w:r>
        <w:t>Our partnerships with businesses, nonprofits, government entities and community organizations have enabled us to drive sustainable impact and help them achieve their goals.</w:t>
      </w:r>
    </w:p>
    <w:p w14:paraId="441B63F3" w14:textId="77777777" w:rsidR="003F37FA" w:rsidRDefault="00000000">
      <w:r>
        <w:t>While we all want a strong banking and financial system, we should step back and assess how all the regulatory steps we have taken measure up against the goals we all share.</w:t>
      </w:r>
    </w:p>
    <w:p w14:paraId="69D63605" w14:textId="77777777" w:rsidR="003F37FA" w:rsidRDefault="00000000">
      <w:r>
        <w:t>The current regulatory approach to liquidity might simply run counter to the stated intent.</w:t>
      </w:r>
    </w:p>
    <w:p w14:paraId="59E3485D" w14:textId="77777777" w:rsidR="003F37FA" w:rsidRDefault="00000000">
      <w:r>
        <w:t>This massive effort continuously educates investors and decision makers around the world and often leads to improved governance and management.</w:t>
      </w:r>
    </w:p>
    <w:p w14:paraId="7F5BFCDC" w14:textId="77777777" w:rsidR="003F37FA" w:rsidRDefault="00000000">
      <w:r>
        <w:t>It also critically complements the firm’s market-making activities and further promotes transparency, enabling investors to make thoughtful choices around investing in capital markets.</w:t>
      </w:r>
    </w:p>
    <w:p w14:paraId="07008567" w14:textId="77777777" w:rsidR="003F37FA" w:rsidRDefault="00000000">
      <w:r>
        <w:t>This investment allows us to maintain global trading systems and constantly improve upon risk management and efficiency.</w:t>
      </w:r>
    </w:p>
    <w:p w14:paraId="3D54F224" w14:textId="3D30A56C" w:rsidR="003F37FA" w:rsidRDefault="00000000">
      <w:r>
        <w:t>Market makers add confidence, liquidity and transparency to U</w:t>
      </w:r>
      <w:r w:rsidR="00C952D9">
        <w:t xml:space="preserve"> c</w:t>
      </w:r>
      <w:r>
        <w:t>apital markets</w:t>
      </w:r>
      <w:r w:rsidR="00C952D9">
        <w:t xml:space="preserve"> </w:t>
      </w:r>
      <w:r>
        <w:t>market making helps stabilize markets and can reduce volatility.</w:t>
      </w:r>
    </w:p>
    <w:p w14:paraId="7EDA23AB" w14:textId="77777777" w:rsidR="003F37FA" w:rsidRDefault="00000000">
      <w:r>
        <w:t>The reasons are complex and may include factors such as intensified reporting requirements including investors’ growing needs for environmental, social and governance information, higher litigation expenses, costly regulations, cookie-cutter board governance, shareholder activism, less compensation flexibility, less capital flexibility, heightened public scrutiny and the relentless pressure of quarterly earnings.</w:t>
      </w:r>
    </w:p>
    <w:p w14:paraId="11975A19" w14:textId="77777777" w:rsidR="003F37FA" w:rsidRDefault="00000000">
      <w:r>
        <w:lastRenderedPageBreak/>
        <w:t>For example, proxy advisors may automatically judge directors unfavorably if they have a long tenure on the board, without a fair assessment of their actual contributions or experience.</w:t>
      </w:r>
    </w:p>
    <w:p w14:paraId="76683809" w14:textId="77777777" w:rsidR="003F37FA" w:rsidRDefault="00000000">
      <w:r>
        <w:t>The governance of major corporations is evolving away from guidance by governance principles that focus on a company’s relationship to long-term economic value toward a bureaucratic compliance exercise.</w:t>
      </w:r>
    </w:p>
    <w:p w14:paraId="173AB200" w14:textId="77777777" w:rsidR="003F37FA" w:rsidRDefault="00000000">
      <w:r>
        <w:t>The firm has significantly expanded the representation of portfolio managers on its North American Proxy Committee in an effort to increase the diversity of viewpoints represented on the committee.</w:t>
      </w:r>
    </w:p>
    <w:p w14:paraId="41CB5FB9" w14:textId="56344753" w:rsidR="003F37FA" w:rsidRDefault="00000000">
      <w:r>
        <w:t xml:space="preserve">The answer is </w:t>
      </w:r>
      <w:proofErr w:type="gramStart"/>
      <w:r>
        <w:t>absolutely yes</w:t>
      </w:r>
      <w:proofErr w:type="gramEnd"/>
      <w:r>
        <w:t xml:space="preserve"> because they enabled a process of constant learning, assessment and modification of best practices</w:t>
      </w:r>
      <w:r w:rsidR="00C952D9">
        <w:t xml:space="preserve"> </w:t>
      </w:r>
      <w:r>
        <w:t>gaining insights from employees to clients to competitors.</w:t>
      </w:r>
    </w:p>
    <w:p w14:paraId="32241F1D" w14:textId="27817AC5" w:rsidR="003F37FA" w:rsidRPr="009308FB" w:rsidRDefault="00000000">
      <w:pPr>
        <w:rPr>
          <w:lang w:val="sk-SK"/>
        </w:rPr>
      </w:pPr>
      <w:r>
        <w:t>It must also include development finance</w:t>
      </w:r>
      <w:r w:rsidR="00C952D9">
        <w:t xml:space="preserve"> </w:t>
      </w:r>
      <w:r>
        <w:t>think of the Belt and Road efforts in China</w:t>
      </w:r>
      <w:r w:rsidR="00C952D9">
        <w:t xml:space="preserve"> </w:t>
      </w:r>
      <w:r>
        <w:t>which are critical to most developing nations.</w:t>
      </w:r>
    </w:p>
    <w:p w14:paraId="2ECA6C62" w14:textId="77777777" w:rsidR="003F37FA" w:rsidRDefault="00000000">
      <w:proofErr w:type="gramStart"/>
      <w:r>
        <w:t>So</w:t>
      </w:r>
      <w:proofErr w:type="gramEnd"/>
      <w:r>
        <w:t xml:space="preserve"> any new trade policy should be combined with a greatly enhanced Trade Adjustment Assistance program, which provides retraining, income assistance and relocation for those workers directly impacted by trade.</w:t>
      </w:r>
    </w:p>
    <w:p w14:paraId="26ACC511" w14:textId="77777777" w:rsidR="003F37FA" w:rsidRDefault="00000000">
      <w:r>
        <w:t>And industrial policy should include twin provisions, 1 strict limitations on political interference, like social policies, and 2 specific permitting requirements, which, if not drastically improved, will badly inhibit our ability to make investments and allow infrastructure to be built.</w:t>
      </w:r>
    </w:p>
    <w:p w14:paraId="4D10F25E" w14:textId="77777777" w:rsidR="003F37FA" w:rsidRDefault="00000000">
      <w:r>
        <w:t>Adding social policy, politics and matters other than simple tax credits dramatically reduces the economic efficiency of industrial policy and creates conditions for corporate America to feed at the trough of government largess.</w:t>
      </w:r>
    </w:p>
    <w:p w14:paraId="1E2EEE25" w14:textId="77777777" w:rsidR="003F37FA" w:rsidRDefault="00000000">
      <w:r>
        <w:t>It is clear that China’s new leadership has set a different course, with a much more intense focus on national security, military capability and internal development.</w:t>
      </w:r>
    </w:p>
    <w:p w14:paraId="0972CDCC" w14:textId="77777777" w:rsidR="003F37FA" w:rsidRDefault="00000000">
      <w:r>
        <w:t>In the sidebar, I also explain how two policies a large expansion of the Earned Income Tax Credit and focus on work skills and job outcomes at high schools, community colleges and colleges would not only dramatically increase both the income and employment opportunities for many of those left behind but would also have the virtue of actually growing the workforce.</w:t>
      </w:r>
    </w:p>
    <w:p w14:paraId="144DC21C" w14:textId="1C9FFAB0" w:rsidR="003F37FA" w:rsidRDefault="00000000">
      <w:r>
        <w:t>For example, back in 1969 the cancellation of the Reserve Officers’ Training Corps programs by the country’s most prestigious universities and colleges likely fueled the great divide</w:t>
      </w:r>
      <w:r w:rsidR="00C952D9">
        <w:t xml:space="preserve"> </w:t>
      </w:r>
      <w:r>
        <w:t>between elites and others in our country</w:t>
      </w:r>
      <w:r w:rsidR="00C952D9">
        <w:t xml:space="preserve"> </w:t>
      </w:r>
      <w:r>
        <w:t>that persists today.</w:t>
      </w:r>
    </w:p>
    <w:p w14:paraId="061C6C17" w14:textId="64C8D194" w:rsidR="003F37FA" w:rsidRDefault="00000000">
      <w:r>
        <w:t>The current state of the online information landscape has wide-ranging implications on trust in institutions, information integrity and more</w:t>
      </w:r>
      <w:r w:rsidR="00C952D9">
        <w:t xml:space="preserve"> </w:t>
      </w:r>
      <w:r>
        <w:t xml:space="preserve">and it bears on institutions like ours, </w:t>
      </w:r>
      <w:r>
        <w:lastRenderedPageBreak/>
        <w:t>where platform policy has increasingly widespread implications for concerns about fraud, security and other issue spaces.</w:t>
      </w:r>
    </w:p>
    <w:p w14:paraId="0B6B5F83" w14:textId="77777777" w:rsidR="003F37FA" w:rsidRDefault="00000000">
      <w:r>
        <w:t>There are clear competing values that need to be balanced in such an approach, including those related to our cherished right to free speech, individual privacy and inclusion for example, roughly 850 million people globally don’t have a way to easily authenticate themselves today.</w:t>
      </w:r>
    </w:p>
    <w:p w14:paraId="313BDE10" w14:textId="77777777" w:rsidR="003F37FA" w:rsidRDefault="00000000">
      <w:r>
        <w:t>Inexperience with business is also evident from the regular lack of transparency or curiosity from regulators as they develop economic policies with potentially seismic consequences for the economy.</w:t>
      </w:r>
    </w:p>
    <w:p w14:paraId="60C2CB80" w14:textId="77777777" w:rsidR="003F37FA" w:rsidRDefault="00000000">
      <w:r>
        <w:t>Once we onboard a customer to the franchise, we focus on earning the right to deepen that relationship and serve more of their financial needs.</w:t>
      </w:r>
    </w:p>
    <w:p w14:paraId="2C05D67A" w14:textId="77777777" w:rsidR="003F37FA" w:rsidRDefault="00000000">
      <w:r>
        <w:t>We aim to be the bank for all, so tailoring products, services and experiences for each customer segment and community is central to our strategy.</w:t>
      </w:r>
    </w:p>
    <w:p w14:paraId="7701CC27" w14:textId="77777777" w:rsidR="003F37FA" w:rsidRDefault="00000000">
      <w:r>
        <w:t>We’re increasingly focused on supporting the financial health of customers and communities through digital and in-person resources, such as our nearly 150 dedicated Community Managers.</w:t>
      </w:r>
    </w:p>
    <w:p w14:paraId="1B01D919" w14:textId="77777777" w:rsidR="003F37FA" w:rsidRDefault="00000000">
      <w:r>
        <w:t>A little over half of our annual investment is focused on product development, helping ensure we have the best products, services and channels to meet customers’ evolving needs.</w:t>
      </w:r>
    </w:p>
    <w:p w14:paraId="30F26156" w14:textId="77777777" w:rsidR="003F37FA" w:rsidRDefault="00000000">
      <w:r>
        <w:t>Among our efforts, we are already using AI to onboard customers faster, combat fraud and serve up more insights to clients.</w:t>
      </w:r>
    </w:p>
    <w:p w14:paraId="5D8CDE22" w14:textId="47EA0BC1" w:rsidR="003F37FA" w:rsidRDefault="00000000">
      <w:r>
        <w:t>In 2023, we continued to help clients with their sustainability goals as well as scaling green solutions.</w:t>
      </w:r>
    </w:p>
    <w:p w14:paraId="0032998B" w14:textId="77777777" w:rsidR="003F37FA" w:rsidRDefault="00000000">
      <w:r>
        <w:t>From financing and capital raising to strategic advice, we are working closely with clients across industries as they aim to meet their own long-term sustainability targets.</w:t>
      </w:r>
    </w:p>
    <w:p w14:paraId="30391F25" w14:textId="77777777" w:rsidR="003F37FA" w:rsidRDefault="00000000">
      <w:r>
        <w:t>As an example, we’ve been able to reduce our onboarding time to under 48 hours for a number of new clients, and we’re working to scale this experience.</w:t>
      </w:r>
    </w:p>
    <w:p w14:paraId="1A6CAA62" w14:textId="77777777" w:rsidR="003F37FA" w:rsidRDefault="00000000">
      <w:r>
        <w:t>Focus on community impact CB has played an instrumental role in supporting the neighborhoods where we live and work.</w:t>
      </w:r>
    </w:p>
    <w:p w14:paraId="55D12E98" w14:textId="77777777" w:rsidR="003F37FA" w:rsidRDefault="00000000">
      <w:r>
        <w:t>In 2023 alone, CB extended more than $18 billion to help communities thrive, including, $6 billion to vital institutions, such as hospitals, governments and schools $3 billion in loans to emerging middle market businesses $5 billion to create and preserve over 41,000 affordable housing units $580 million in New Markets Tax Credit financing to support community development projects $240 million to community development financial institutions deepen our presence in high-growth markets, expand our client franchise and build upon our team.</w:t>
      </w:r>
    </w:p>
    <w:p w14:paraId="54F55183" w14:textId="2414540D" w:rsidR="003F37FA" w:rsidRDefault="00000000">
      <w:r>
        <w:lastRenderedPageBreak/>
        <w:t xml:space="preserve">In Corporate </w:t>
      </w:r>
      <w:proofErr w:type="spellStart"/>
      <w:r>
        <w:t>Responsibility</w:t>
      </w:r>
      <w:r w:rsidR="009308FB">
        <w:t>s</w:t>
      </w:r>
      <w:proofErr w:type="spellEnd"/>
      <w:r>
        <w:t>, we put this philosophy into action by operating at the nexus of business, policy and community.</w:t>
      </w:r>
    </w:p>
    <w:p w14:paraId="6244F5B0" w14:textId="77777777" w:rsidR="003F37FA" w:rsidRDefault="00000000">
      <w:r>
        <w:t>This is why we have brought together our philanthropy, government relations, research and policy, sustainability and community engagement functions to tackle inclusive economic growth as one team.</w:t>
      </w:r>
    </w:p>
    <w:p w14:paraId="0A925EBF" w14:textId="77777777" w:rsidR="003F37FA" w:rsidRDefault="00000000">
      <w:r>
        <w:t>Monica has devoted her career to her community, attracting investment to help improve Wards 7 and 8’s low homeownership and high poverty and unemployment rates.</w:t>
      </w:r>
    </w:p>
    <w:p w14:paraId="2C4977E4" w14:textId="77777777" w:rsidR="003F37FA" w:rsidRDefault="00000000">
      <w:r>
        <w:t>After years of collaborating on CHCTDC initiatives and the opening of Chase’s Community Center Branch in Skyland Town Center, Monica shared her vision about helping to launch a small business career and skills building incubator.</w:t>
      </w:r>
    </w:p>
    <w:p w14:paraId="198929A4" w14:textId="77777777" w:rsidR="003F37FA" w:rsidRDefault="00000000">
      <w:r>
        <w:t>This has included committing $64 million in philanthropic capital over the past five years, alongside the firm’s active employee volunteerism programs, civic partnerships, and close engagements with government and nonprofits.</w:t>
      </w:r>
    </w:p>
    <w:p w14:paraId="43E5F654" w14:textId="0A53D817" w:rsidR="003F37FA" w:rsidRDefault="00000000">
      <w:r>
        <w:t>We have also promoted efforts to boost the U’s leadership in sustainable finance, providing input on a report offering recommendations the U</w:t>
      </w:r>
      <w:r w:rsidR="000E71D7">
        <w:t xml:space="preserve"> c</w:t>
      </w:r>
      <w:r>
        <w:t>an take to unlock capital at scale to transition to a more sustainable energy system.</w:t>
      </w:r>
    </w:p>
    <w:p w14:paraId="6827BFD1" w14:textId="77777777" w:rsidR="003F37FA" w:rsidRDefault="00000000">
      <w:r>
        <w:t>Our approach To help young people access educational and skills training opportunities, we began advising and funding data-driven nonprofits, including the Commit Partnership and Tarrant To &amp; Through T3 Partnership, coalitions of school systems, higher education institutions, local and state governments, foundations, employers and workforce agencies, among others.</w:t>
      </w:r>
    </w:p>
    <w:p w14:paraId="57F6A3D2" w14:textId="77777777" w:rsidR="003F37FA" w:rsidRDefault="00000000">
      <w:r>
        <w:t>Since 2022, we have been a vocal champion of Texas’s House Bill 8 legislation that creates a new funding model that incentivizes community colleges in Texas to ensure that more students complete certificates and other credentials or transfer to a four-year university to complete their undergraduate degree.</w:t>
      </w:r>
    </w:p>
    <w:p w14:paraId="2BF78289" w14:textId="77777777" w:rsidR="003F37FA" w:rsidRDefault="00000000">
      <w:r>
        <w:t>It is a privilege to support schools, hospitals and other community institutions.</w:t>
      </w:r>
    </w:p>
    <w:p w14:paraId="5157940A" w14:textId="77777777" w:rsidR="003F37FA" w:rsidRDefault="00000000">
      <w:r>
        <w:t>In addition, the Firm’s policy is generally to exempt credit card loans from being placed on nonaccrual status as permitted by regulatory guidance.</w:t>
      </w:r>
    </w:p>
    <w:p w14:paraId="27D72E68" w14:textId="77777777" w:rsidR="003F37FA" w:rsidRDefault="00000000">
      <w:r>
        <w:t>Risk governance framework The Firm’s risk governance framework involves understanding drivers of risks, types of risks, and impacts of risks.</w:t>
      </w:r>
    </w:p>
    <w:p w14:paraId="051C1F68" w14:textId="77777777" w:rsidR="003F37FA" w:rsidRDefault="00000000">
      <w:r>
        <w:t>Drivers of risks include, but are not limited to, the economic environment, regulatory or government policy, competitor or market evolution, business decisions, process or judgment error, deliberate wrongdoing, dysfunctional markets, and natural disasters.</w:t>
      </w:r>
    </w:p>
    <w:p w14:paraId="22ED812B" w14:textId="77777777" w:rsidR="003F37FA" w:rsidRDefault="00000000">
      <w:r>
        <w:t>Operational risk includes cybersecurity, compliance, conduct, legal, and estimations and model risk.</w:t>
      </w:r>
    </w:p>
    <w:p w14:paraId="0C8124CB" w14:textId="77777777" w:rsidR="003F37FA" w:rsidRDefault="00000000">
      <w:r>
        <w:lastRenderedPageBreak/>
        <w:t>The Firm’s risk governance framework is managed on a Firmwide basis.</w:t>
      </w:r>
    </w:p>
    <w:p w14:paraId="516D2EE0" w14:textId="77777777" w:rsidR="003F37FA" w:rsidRDefault="00000000">
      <w:r>
        <w:t>The framework is subject to approval by the Board Risk Committee through its review and approval of the Risk Governance and Oversight Policy.</w:t>
      </w:r>
    </w:p>
    <w:p w14:paraId="64AC2AE1" w14:textId="77777777" w:rsidR="003F37FA" w:rsidRDefault="00000000">
      <w:r>
        <w:t>Responsibilities also include adherence to applicable laws, rules and regulations and implementation of the risk Management’s discussion and analysis 86 JPMorgan Chase &amp; Co.</w:t>
      </w:r>
    </w:p>
    <w:p w14:paraId="3BF5DBF8" w14:textId="7E523A46" w:rsidR="003F37FA" w:rsidRDefault="00000000">
      <w:r>
        <w:t>2023 Form 10-K The Firm's risk governance and oversight functions align to, Drivers of Risks Factors that cause a risk to exist Types of Risks Categories by which risks manifest themselves Impacts of Risks Consequences of risks, both quantitative and qualitative governance framework established by IRM, which may include policies, standards, limits, thresholds and controls.</w:t>
      </w:r>
    </w:p>
    <w:p w14:paraId="620497F4" w14:textId="77777777" w:rsidR="003F37FA" w:rsidRDefault="00000000">
      <w:r>
        <w:t>The second line of defense is the IRM function, which is separate from the first line of defense and is responsible for independently measuring risk, as well as assessing and challenging the risk management practices of the first line of defense.</w:t>
      </w:r>
    </w:p>
    <w:p w14:paraId="654643D4" w14:textId="77777777" w:rsidR="003F37FA" w:rsidRDefault="00000000">
      <w:r>
        <w:t>IRM is also responsible for the identification of risks within its respective organization, adherence to applicable laws, rules and regulations and for the development and implementation of policies and standards with respect to its own processes.</w:t>
      </w:r>
    </w:p>
    <w:p w14:paraId="53A51433" w14:textId="77777777" w:rsidR="003F37FA" w:rsidRDefault="00000000">
      <w:r>
        <w:t>These other functions are responsible for the identification of risks within their respective organizations, adherence to applicable laws, rules and regulations and implementation of the risk governance framework established by IRM.</w:t>
      </w:r>
    </w:p>
    <w:p w14:paraId="7F04CFDA" w14:textId="77777777" w:rsidR="003F37FA" w:rsidRDefault="00000000">
      <w:r>
        <w:t>In addition, there are other committees, forums and channels of escalation that support the oversight of risk that are not shown in the chart below or described in this Form 10-K.</w:t>
      </w:r>
    </w:p>
    <w:p w14:paraId="76A6CA8A" w14:textId="77777777" w:rsidR="003F37FA" w:rsidRDefault="00000000">
      <w:r>
        <w:t>Breaches in risk appetite and parameters, issues that may have a material adverse impact on the Firm, including capital and liquidity issues, and other significant risk-related matters are escalated to the Board Risk Committee, as appropriate.</w:t>
      </w:r>
    </w:p>
    <w:p w14:paraId="77B502FF" w14:textId="77777777" w:rsidR="003F37FA" w:rsidRDefault="00000000">
      <w:r>
        <w:t>The Committee evaluates and recommends to the Board corporate governance practices applicable to the Firm.</w:t>
      </w:r>
    </w:p>
    <w:p w14:paraId="7640DC02" w14:textId="77777777" w:rsidR="003F37FA" w:rsidRDefault="00000000">
      <w:r>
        <w:t>It also reviews the framework for assessing the Board’s performance and self-evaluation.</w:t>
      </w:r>
    </w:p>
    <w:p w14:paraId="31451DCE" w14:textId="77777777" w:rsidR="003F37FA" w:rsidRDefault="00000000">
      <w:r>
        <w:t>Line of Business and Regional Risk Committees are responsible for overseeing the governance, limits, and controls that have been established within the scope of their respective activities.</w:t>
      </w:r>
    </w:p>
    <w:p w14:paraId="43954306" w14:textId="77777777" w:rsidR="003F37FA" w:rsidRDefault="00000000">
      <w:r>
        <w:t>As part of that mandate, they are responsible for reviewing indicators of elevated or emerging risks and other data that may impact the level of compliance and operational risk in a business or function, addressing key compliance and operational risk issues, with an emphasis on processes with control concerns and overseeing control remediation.</w:t>
      </w:r>
    </w:p>
    <w:p w14:paraId="50391931" w14:textId="77777777" w:rsidR="003F37FA" w:rsidRDefault="00000000">
      <w:r>
        <w:lastRenderedPageBreak/>
        <w:t>Risk governance and oversight functions The Firm manages its risk through risk governance and oversight functions.</w:t>
      </w:r>
    </w:p>
    <w:p w14:paraId="398848BD" w14:textId="77777777" w:rsidR="003F37FA" w:rsidRDefault="00000000">
      <w:r>
        <w:t>The following sections discuss the risk governance and oversight functions that have been established to manage the risks inherent in the Firm’s business activities.</w:t>
      </w:r>
    </w:p>
    <w:p w14:paraId="3C5B4FA1" w14:textId="77777777" w:rsidR="003F37FA" w:rsidRDefault="00000000">
      <w:r>
        <w:t>Management and oversight The Operating Committee, together with the senior leadership of each LOB and Corporate, are responsible for managing the Firm’s most significant strategic risks.</w:t>
      </w:r>
    </w:p>
    <w:p w14:paraId="160AAC95" w14:textId="77777777" w:rsidR="003F37FA" w:rsidRDefault="00000000">
      <w:r>
        <w:t>IRM engages regularly in strategic business discussions and decision-making, including participation in relevant business reviews and senior management meetings, risk and control committees and other relevant governance forums, and review of acquisitions and new business initiatives.</w:t>
      </w:r>
    </w:p>
    <w:p w14:paraId="328B827B" w14:textId="77777777" w:rsidR="003F37FA" w:rsidRDefault="00000000">
      <w:r>
        <w:t>The Firm’s strategic planning process, which includes the development of the Firm’s strategic plan and other strategic initiatives, is one component of managing the Firm’s strategic risk.</w:t>
      </w:r>
    </w:p>
    <w:p w14:paraId="2D1984EC" w14:textId="77777777" w:rsidR="003F37FA" w:rsidRDefault="00000000">
      <w:r>
        <w:t>The Firm’s capital risk management strategy focuses on maintaining long-term stability to enable the Firm to build and invest in marketleading businesses, including in highly stressed environments.</w:t>
      </w:r>
    </w:p>
    <w:p w14:paraId="470D1C37" w14:textId="344B33E6" w:rsidR="003F37FA" w:rsidRDefault="00000000">
      <w:r>
        <w:t>Ensure the Firm operates above the minimum regulatory capital ratios as well as maintain well-capitalized status for the Firm and its principal insured depository institution IDI subsidiary, JPMorgan Chase Bank, N.</w:t>
      </w:r>
    </w:p>
    <w:p w14:paraId="5D003296" w14:textId="77777777" w:rsidR="003F37FA" w:rsidRDefault="00000000">
      <w:r>
        <w:t>At all times under applicable regulatory capital requirements.</w:t>
      </w:r>
    </w:p>
    <w:p w14:paraId="6BA17EB4" w14:textId="77777777" w:rsidR="003F37FA" w:rsidRDefault="00000000">
      <w:r>
        <w:t>The Firm addresses these objectives through, Establishing internal minimum capital requirements and maintaining a strong capital governance framework.</w:t>
      </w:r>
    </w:p>
    <w:p w14:paraId="23B09024" w14:textId="2D4FAAD0" w:rsidR="003F37FA" w:rsidRDefault="00000000">
      <w:r>
        <w:t>2023 Form 10-K 91 Internal Capital Adequacy Assessment Process Annually, the Firm prepares the ICAAP, which informs the Board of Directors of the ongoing assessment of the Firm’s processes for managing the sources and uses of capital as well as compliance with supervisory expectations for capital planning and capital adequacy.</w:t>
      </w:r>
    </w:p>
    <w:p w14:paraId="47968C25" w14:textId="77777777" w:rsidR="003F37FA" w:rsidRDefault="00000000">
      <w:r>
        <w:t>Federal regulatory capital standards include a framework for setting a discretionary countercyclical capital buffer taking into account the macro financial environment in which large, internationally active banks function.</w:t>
      </w:r>
    </w:p>
    <w:p w14:paraId="758B43D3" w14:textId="77777777" w:rsidR="003F37FA" w:rsidRDefault="00000000">
      <w:r>
        <w:t>Failure to maintain regulatory capital equal to or in excess of the risk-based regulatory capital minimum plus the capital conservation buffer inclusive of the GSIB surcharge and any countercyclical buffer will result in limitations to the amount of capital that the Firm may distribute, such as through dividends and common share repurchases, as well as on discretionary bonus payments for certain executive officers.</w:t>
      </w:r>
    </w:p>
    <w:p w14:paraId="7AB5F46E" w14:textId="77777777" w:rsidR="003F37FA" w:rsidRDefault="00000000">
      <w:r>
        <w:lastRenderedPageBreak/>
        <w:t>Leverage-based Capital Regulatory Requirements Supplementary leverage ratio Banking organizations subject to the Basel III Advanced approach are currently required to have a minimum SLR of 3.</w:t>
      </w:r>
    </w:p>
    <w:p w14:paraId="316F06B0" w14:textId="77777777" w:rsidR="003F37FA" w:rsidRDefault="00000000">
      <w:r>
        <w:t>Failure to maintain an SLR equal to or greater than the regulatory requirement will result in limitations on the amount of capital that the Firm may distribute such as through dividends and common share repurchases, as well as on discretionary bonus payments for certain executive officers.</w:t>
      </w:r>
    </w:p>
    <w:p w14:paraId="0CA80CE6" w14:textId="4412D8FE" w:rsidR="003F37FA" w:rsidRDefault="00000000">
      <w:r>
        <w:t xml:space="preserve">Must also maintain minimum capital and leverage ratios </w:t>
      </w:r>
      <w:proofErr w:type="gramStart"/>
      <w:r>
        <w:t>in order to</w:t>
      </w:r>
      <w:proofErr w:type="gramEnd"/>
      <w:r>
        <w:t xml:space="preserve"> be well-capitalized under the regulations issued by the Federal Reserve and the Prompt Corrective Action requirements of the FDIC Improvement Act, respectively.</w:t>
      </w:r>
    </w:p>
    <w:p w14:paraId="2603915F" w14:textId="77777777" w:rsidR="003F37FA" w:rsidRDefault="00000000">
      <w:r>
        <w:t>Refer to the Firm’s Pillar 3 Regulatory Capital Disclosures reports, which are available on the Firm’s website, for further information on the Firm’s current capital measures.</w:t>
      </w:r>
    </w:p>
    <w:p w14:paraId="71ECBDBA" w14:textId="77777777" w:rsidR="003F37FA" w:rsidRDefault="00000000">
      <w:r>
        <w:t>First Republic Bank was not subject to Advanced approach regulatory capital requirements.</w:t>
      </w:r>
    </w:p>
    <w:p w14:paraId="22378F12" w14:textId="77777777" w:rsidR="003F37FA" w:rsidRDefault="00000000">
      <w:r>
        <w:t>Effective July 1, 2021, the Firm became subject to the normal capital distribution restrictions provided under the regulatory capital framework.</w:t>
      </w:r>
    </w:p>
    <w:p w14:paraId="48785AD0" w14:textId="77777777" w:rsidR="003F37FA" w:rsidRDefault="00000000">
      <w:r>
        <w:t>The $30 billion common share repurchase program approved by the Board does not establish specific price targets or timetables.</w:t>
      </w:r>
    </w:p>
    <w:p w14:paraId="6AA05263" w14:textId="64111986" w:rsidR="003F37FA" w:rsidRDefault="00000000" w:rsidP="0013131D">
      <w:r>
        <w:t xml:space="preserve">Failure to maintain TLAC equal to or </w:t>
      </w:r>
      <w:proofErr w:type="gramStart"/>
      <w:r>
        <w:t>in excess of</w:t>
      </w:r>
      <w:proofErr w:type="gramEnd"/>
      <w:r>
        <w:t xml:space="preserve"> the regulatory minimum plus applicable buffers will result in limitations on the amount of capital that the Firm may distribute, such as through dividends and common share repurchases, as well as on discretionary bonus payments for certain executive officers.</w:t>
      </w:r>
    </w:p>
    <w:p w14:paraId="57F9C7D1" w14:textId="0ECD80E7" w:rsidR="003F37FA" w:rsidRDefault="00000000">
      <w:r>
        <w:t>Liquidity risk is the risk that the Firm will be unable to meet its cash and collateral needs as they arise or that it does not have the appropriate amount, composition and tenor of funding and liquidity to support its assets and liabilities.</w:t>
      </w:r>
    </w:p>
    <w:p w14:paraId="24739377" w14:textId="77777777" w:rsidR="003F37FA" w:rsidRDefault="00000000">
      <w:r>
        <w:t>The Firm addresses these objectives through, Analyzing and understanding the liquidity characteristics of the assets and liabilities of the Firm, LOBs, legal entities, as well as currencies, taking into account legal, regulatory, and operational restrictions.</w:t>
      </w:r>
    </w:p>
    <w:p w14:paraId="00ECFD59" w14:textId="77777777" w:rsidR="003F37FA" w:rsidRDefault="00000000">
      <w:r>
        <w:t>Managing compliance with regulatory requirements related to funding and liquidity risk.</w:t>
      </w:r>
    </w:p>
    <w:p w14:paraId="1EBFECE4" w14:textId="77777777" w:rsidR="003F37FA" w:rsidRDefault="00000000">
      <w:r>
        <w:t>Critical factors in maintaining high credit ratings include a stable and diverse earnings stream, strong capital and liquidity ratios, strong credit quality and risk management controls, and diverse funding sources.</w:t>
      </w:r>
    </w:p>
    <w:p w14:paraId="43EFAB17" w14:textId="77777777" w:rsidR="003F37FA" w:rsidRDefault="00000000">
      <w:r>
        <w:t>Rating agencies continue to evaluate economic and geopolitical trends, regulatory developments, future profitability, risk management practices, and litigation matters, as well as their broader ratings methodologies.</w:t>
      </w:r>
    </w:p>
    <w:p w14:paraId="5C83628A" w14:textId="77777777" w:rsidR="003F37FA" w:rsidRDefault="00000000">
      <w:r>
        <w:lastRenderedPageBreak/>
        <w:t>Credit Risk Management monitors, measures and manages credit risk throughout the Firm and defines credit risk policies and procedures.</w:t>
      </w:r>
    </w:p>
    <w:p w14:paraId="32B24AB2" w14:textId="56649B78" w:rsidR="003F37FA" w:rsidRDefault="00000000">
      <w:r>
        <w:t>The Firm has developed policies and practices that are designed to preserve the independence and integrity of the approval and decision-making process for extending credit so that credit risks are assessed accurately, approved properly, monitored regularly and managed actively at both the transaction and portfolio levels.</w:t>
      </w:r>
    </w:p>
    <w:p w14:paraId="7CE86919" w14:textId="77777777" w:rsidR="003F37FA" w:rsidRDefault="00000000">
      <w:r>
        <w:t>In addition, the Firm’s policy is generally to exempt credit card loans from being placed on nonaccrual status as permitted by regulatory guidance.</w:t>
      </w:r>
    </w:p>
    <w:p w14:paraId="7B14ED7F" w14:textId="77777777" w:rsidR="003F37FA" w:rsidRDefault="00000000">
      <w:r>
        <w:t>In addition, the Firm’s policy is generally to exempt credit card loans from being placed on nonaccrual status, as permitted by regulatory guidance.</w:t>
      </w:r>
    </w:p>
    <w:p w14:paraId="6CE82648" w14:textId="77777777" w:rsidR="003F37FA" w:rsidRDefault="00000000">
      <w:r>
        <w:t>In addition, the Firm’s risk management process for derivatives exposures takes into consideration the potential impact of wrong-way risk, which is broadly defined as the risk that exposure to a counterparty is positively correlated with the impact of a default by the same counterparty, which could cause exposure to increase at the same time as the counterparty’s capacity to meet its obligations is decreasing.</w:t>
      </w:r>
    </w:p>
    <w:p w14:paraId="21118FD2" w14:textId="77777777" w:rsidR="003F37FA" w:rsidRDefault="00000000">
      <w:r>
        <w:t>Governance and oversight Investment securities risks are governed by the Firm’s Risk Appetite framework, and reviewed at the CTC Risk Committee with regular updates provided to the Board Risk Committee.</w:t>
      </w:r>
    </w:p>
    <w:p w14:paraId="39C721EA" w14:textId="77777777" w:rsidR="003F37FA" w:rsidRDefault="00000000">
      <w:r>
        <w:t>The Firm’s investments will continue to evolve based on market circumstances and in line with its strategic initiatives, including the Firm’s environmental and social goals.</w:t>
      </w:r>
    </w:p>
    <w:p w14:paraId="276CD172" w14:textId="77777777" w:rsidR="003F37FA" w:rsidRDefault="00000000">
      <w:r>
        <w:t>Governance and oversight The Firm’s approach to managing principal investment risk is consistent with the Firm’s risk governance structure.</w:t>
      </w:r>
    </w:p>
    <w:p w14:paraId="1D2B1DF2" w14:textId="77777777" w:rsidR="003F37FA" w:rsidRDefault="00000000">
      <w:r>
        <w:t xml:space="preserve">In the event of a breach, Market Risk Management consults with senior members of appropriate groups within the Firm to determine the suitable course of action required to return the applicable positions to compliance, which may include a reduction in risk </w:t>
      </w:r>
      <w:proofErr w:type="gramStart"/>
      <w:r>
        <w:t>in order to</w:t>
      </w:r>
      <w:proofErr w:type="gramEnd"/>
      <w:r>
        <w:t xml:space="preserve"> remedy the breach or granting a temporary increase in limits to accommodate an expected increase in client activity and/or market volatility.</w:t>
      </w:r>
    </w:p>
    <w:p w14:paraId="1A289E37" w14:textId="77777777" w:rsidR="003F37FA" w:rsidRDefault="00000000">
      <w:r>
        <w:t>Market Risk Management periodically reviews the Firm’s existing market risk measures to identify opportunities for enhancement, and to the extent appropriate, will calibrate those measures accordingly over time.</w:t>
      </w:r>
    </w:p>
    <w:p w14:paraId="234A5A88" w14:textId="77777777" w:rsidR="003F37FA" w:rsidRDefault="00000000">
      <w:r>
        <w:t>Risk Management VaR provides a consistent framework to measure risk profiles and levels of diversification across product types and is used for aggregating risks and monitoring limits across businesses.</w:t>
      </w:r>
    </w:p>
    <w:p w14:paraId="767FCFDF" w14:textId="77777777" w:rsidR="003F37FA" w:rsidRDefault="00000000">
      <w:r>
        <w:t>To capture material market risks as part of the Firm’s risk management framework, comprehensive VaR model calculations are performed daily for businesses whose activities give rise to market risk.</w:t>
      </w:r>
    </w:p>
    <w:p w14:paraId="20568E42" w14:textId="77777777" w:rsidR="003F37FA" w:rsidRDefault="00000000">
      <w:r>
        <w:lastRenderedPageBreak/>
        <w:t>This Regulatory VaR model framework currently assumes a ten business-day holding period and an expected tail loss methodology which approximates a 99% confidence level.</w:t>
      </w:r>
    </w:p>
    <w:p w14:paraId="339C3133" w14:textId="77777777" w:rsidR="003F37FA" w:rsidRDefault="00000000">
      <w:r>
        <w:t>For example, credit derivative hedges of accrual loans are included in the Firm’s Risk Management VaR, while Regulatory VaR excludes these credit derivative hedges.</w:t>
      </w:r>
    </w:p>
    <w:p w14:paraId="0A18465A" w14:textId="77777777" w:rsidR="003F37FA" w:rsidRDefault="00000000">
      <w:r>
        <w:t>In addition, in contrast to the Firm’s Risk Management VaR, Regulatory VaR currently excludes the diversification benefit for certain VaR models.</w:t>
      </w:r>
    </w:p>
    <w:p w14:paraId="604F8F7C" w14:textId="77777777" w:rsidR="003F37FA" w:rsidRDefault="00000000">
      <w:r>
        <w:t>The Firm’s stress testing framework is utilized in calculating the Firm’s CCAR and other stress test results, which are reported periodically to the Board of Directors.</w:t>
      </w:r>
    </w:p>
    <w:p w14:paraId="67406901" w14:textId="77777777" w:rsidR="003F37FA" w:rsidRDefault="00000000">
      <w:r>
        <w:t>In addition, stress testing results are incorporated into the Firm’s Risk Appetite framework, and are reported periodically to the Board Risk Committee.</w:t>
      </w:r>
    </w:p>
    <w:p w14:paraId="2D0926DA" w14:textId="77777777" w:rsidR="003F37FA" w:rsidRDefault="00000000">
      <w:r>
        <w:t>In addition, oversight of structural interest rate risk is managed through a dedicated risk function reporting to the CTC CRO.</w:t>
      </w:r>
    </w:p>
    <w:p w14:paraId="53244AB7" w14:textId="77777777" w:rsidR="003F37FA" w:rsidRDefault="00000000">
      <w:r>
        <w:t>This risk function is responsible for providing independent oversight and governance around assumptions and establishing and monitoring limits for structural interest rate risk, including limits related to Earnings-at- Risk and Economic Value Sensitivity.</w:t>
      </w:r>
    </w:p>
    <w:p w14:paraId="3253404C" w14:textId="77777777" w:rsidR="003F37FA" w:rsidRDefault="00000000">
      <w:r>
        <w:t>These simulations primarily include retained loans, deposits, deposits with banks, investment securities, longterm debt and any related interest rate hedges, and funds transfer pricing of other positions in risk management VaR and other sensitivity-based measures as described on .</w:t>
      </w:r>
    </w:p>
    <w:p w14:paraId="7C475615" w14:textId="77777777" w:rsidR="003F37FA" w:rsidRDefault="00000000">
      <w:r>
        <w:t>In accordance with the CTC interest rate risk management policy, the Firm has established limits on EVS as a percentage of TCE.</w:t>
      </w:r>
    </w:p>
    <w:p w14:paraId="3F84230E" w14:textId="574F1319" w:rsidR="003F37FA" w:rsidRDefault="00000000">
      <w:r>
        <w:t>The Firm, through its LOBs and Corporate, may be exposed to country risk resulting from financial, economic, political or other significant developments which adversely affect the value of the Firm’s exposures related to a particular country or set of countries.</w:t>
      </w:r>
    </w:p>
    <w:p w14:paraId="4B41A98D" w14:textId="77777777" w:rsidR="003F37FA" w:rsidRDefault="00000000">
      <w:r>
        <w:t>Under the Firm’s internal country risk management approach, attribution of exposure to an individual country is based on the country where the largest proportion of the assets of the counterparty, issuer, obligor or guarantor are located or where the largest proportion of its revenue is derived, which may be different than the domicile i.</w:t>
      </w:r>
    </w:p>
    <w:p w14:paraId="31125B6B" w14:textId="77777777" w:rsidR="003F37FA" w:rsidRDefault="00000000">
      <w:r>
        <w:t>Legal residence or country of incorporation.</w:t>
      </w:r>
    </w:p>
    <w:p w14:paraId="2849DF81" w14:textId="77777777" w:rsidR="003F37FA" w:rsidRDefault="00000000">
      <w:r>
        <w:t>Exposure, where exposure is attributed to an individual country based on the Firm’s internal country risk management approach, at both December 31, 2023 and 2022.</w:t>
      </w:r>
    </w:p>
    <w:p w14:paraId="35102437" w14:textId="0188568C" w:rsidR="003F37FA" w:rsidRDefault="00000000">
      <w:r>
        <w:t>Predominantly represents cash placed with central banks.</w:t>
      </w:r>
    </w:p>
    <w:p w14:paraId="040702E3" w14:textId="15F5D207" w:rsidR="003F37FA" w:rsidRDefault="00000000">
      <w:r>
        <w:t>Climate risk is the risk associated with the impacts of climate change on the Firm’s clients, customers, operations and business strategy.</w:t>
      </w:r>
    </w:p>
    <w:p w14:paraId="1C066F9F" w14:textId="77777777" w:rsidR="003F37FA" w:rsidRDefault="00000000">
      <w:r>
        <w:lastRenderedPageBreak/>
        <w:t>Climate change is viewed as a driver of risk that may impact existing types of risks managed by the Firm.</w:t>
      </w:r>
    </w:p>
    <w:p w14:paraId="3DF4E03B" w14:textId="77777777" w:rsidR="003F37FA" w:rsidRDefault="00000000">
      <w:r>
        <w:t>Governance and oversight The Firm’s approach to managing climate risk is consistent with the Firm’s risk governance structure.</w:t>
      </w:r>
    </w:p>
    <w:p w14:paraId="764B1D7C" w14:textId="77777777" w:rsidR="003F37FA" w:rsidRDefault="00000000">
      <w:r>
        <w:t>The LOBs and Corporate are responsible for integrating climate risk management into existing governance frameworks, or creating new governance frameworks, as appropriate.</w:t>
      </w:r>
    </w:p>
    <w:p w14:paraId="3AB70706" w14:textId="77777777" w:rsidR="003F37FA" w:rsidRDefault="00000000">
      <w:r>
        <w:t>Operational Risk Management attempts to manage operational risk at appropriate levels in light of the Firm’s financial position, the characteristics of its businesses, and the markets and regulatory environments in which it operates.</w:t>
      </w:r>
    </w:p>
    <w:p w14:paraId="1A953717" w14:textId="221B6B55" w:rsidR="003F37FA" w:rsidRDefault="00000000">
      <w:r>
        <w:t>As required under the Basel III capital framework, the Firm’s operational risk capital methodology, which uses the Advanced Measurement Approach AMA, incorporates internal and external losses as well as management’s view of tail risk captured through operational risk scenario analysis, and evaluation of key business environment and internal control metrics.</w:t>
      </w:r>
    </w:p>
    <w:p w14:paraId="696F32E3" w14:textId="77777777" w:rsidR="003F37FA" w:rsidRDefault="00000000">
      <w:r>
        <w:t>Operational Risk and Compliance may advise the LOBs and Corporate in the development and implementation of action plans.</w:t>
      </w:r>
    </w:p>
    <w:p w14:paraId="6A001DE2" w14:textId="77777777" w:rsidR="003F37FA" w:rsidRDefault="00000000">
      <w:r>
        <w:t>Operational Risk and Compliance has established standards designed to ensure that consistent operational risk reporting and operational risk reports are produced on a Firmwide basis as well as by the LOBs and Corporate.</w:t>
      </w:r>
    </w:p>
    <w:p w14:paraId="218744C4" w14:textId="77777777" w:rsidR="003F37FA" w:rsidRDefault="00000000">
      <w:r>
        <w:t>The Firm continues to face increased operational and other risks associated with addressing these complex compliance-related matters.</w:t>
      </w:r>
    </w:p>
    <w:p w14:paraId="5D65C8A0" w14:textId="77777777" w:rsidR="003F37FA" w:rsidRDefault="00000000">
      <w:r>
        <w:t>To manage this increased risk, the Firm has implemented controls reasonably designed to mitigate the risk of non-compliance and to prevent dealing with sanctioned persons or in property subject to sanctions, as well as to block or restrict payments as required by the applicable regulations.</w:t>
      </w:r>
    </w:p>
    <w:p w14:paraId="24CE8F86" w14:textId="77777777" w:rsidR="003F37FA" w:rsidRDefault="00000000">
      <w:r>
        <w:t>The program includes governance, awareness training, planning and testing of recovery strategies, as well as strategic and tactical initiatives to identify, assess, and manage business resiliency risks.</w:t>
      </w:r>
    </w:p>
    <w:p w14:paraId="2364C2A6" w14:textId="153BDF33" w:rsidR="003F37FA" w:rsidRDefault="00000000">
      <w:r>
        <w:t xml:space="preserve">Third-party outsourcing risk The </w:t>
      </w:r>
      <w:proofErr w:type="gramStart"/>
      <w:r>
        <w:t>Firm‘</w:t>
      </w:r>
      <w:proofErr w:type="gramEnd"/>
      <w:r>
        <w:t>s Third-Party Oversight TPO and Inter-affiliates Oversight IAO frameworks assist the LOBs and Corporate in selecting, documenting, onboarding, monitoring and managing their supplier relationships including services provided by affiliates.</w:t>
      </w:r>
    </w:p>
    <w:p w14:paraId="6B8C3245" w14:textId="77777777" w:rsidR="003F37FA" w:rsidRDefault="00000000">
      <w:r>
        <w:t>Overview Cybersecurity risk is an important and continuously evolving focus for the Firm.</w:t>
      </w:r>
    </w:p>
    <w:p w14:paraId="7C716458" w14:textId="77777777" w:rsidR="003F37FA" w:rsidRDefault="00000000">
      <w:r>
        <w:t xml:space="preserve">The Firm’s security efforts are designed to protect against, among other things, cybersecurity attacks that can result in unauthorized access to confidential information, the </w:t>
      </w:r>
      <w:r>
        <w:lastRenderedPageBreak/>
        <w:t>destruction of data, disruptions to or degradations of service, the sabotaging of systems or other damage.</w:t>
      </w:r>
    </w:p>
    <w:p w14:paraId="252377BC" w14:textId="77777777" w:rsidR="003F37FA" w:rsidRDefault="00000000">
      <w:r>
        <w:t>The Firm engages in periodic discussions with its clients, customers and other external parties concerning cybersecurity risks including opportunities to improve cybersecurity.</w:t>
      </w:r>
    </w:p>
    <w:p w14:paraId="5CB53333" w14:textId="77777777" w:rsidR="003F37FA" w:rsidRDefault="00000000">
      <w:r>
        <w:t>Risks from cybersecurity threats, including any previous cybersecurity events, have not materially affected the Firm or its business strategy, results of operations or financial condition.</w:t>
      </w:r>
    </w:p>
    <w:p w14:paraId="2E7A0571" w14:textId="77777777" w:rsidR="003F37FA" w:rsidRDefault="00000000">
      <w:r>
        <w:t>Notwithstanding the comprehensive approach that the Firm takes to address cybersecurity risk, the Firm may not be successful in preventing or mitigating a future cybersecurity incident that could have a material adverse effect on the Firm or its business strategy, results of operations or financial condition.</w:t>
      </w:r>
    </w:p>
    <w:p w14:paraId="1A2F98B2" w14:textId="77777777" w:rsidR="003F37FA" w:rsidRDefault="00000000">
      <w:r>
        <w:t>The CISO leads the Global Cybersecurity and Technology Controls organization, which is responsible for identifying technology and cybersecurity risks and for implementing and maintaining controls to manage cybersecurity threats.</w:t>
      </w:r>
    </w:p>
    <w:p w14:paraId="2F019392" w14:textId="77777777" w:rsidR="003F37FA" w:rsidRDefault="00000000">
      <w:r>
        <w:t>The CISO is responsible for the Firm’s Information Security Program, which is designed to prevent, detect and respond to cyber attacks in order to help safeguard the confidentiality, integrity and availability of the Firm's infrastructure, resources and information.</w:t>
      </w:r>
    </w:p>
    <w:p w14:paraId="6A8716A3" w14:textId="77777777" w:rsidR="003F37FA" w:rsidRDefault="00000000">
      <w:r>
        <w:t>The program includes managing the Firm’s global cybersecurity operations centers, providing training, conducting cybersecurity event simulation exercises, implementing the Firm’s policies and standards relating to technology risk and cybersecurity management, and enhancing, as needed, the Firm’s cybersecurity capabilities.</w:t>
      </w:r>
    </w:p>
    <w:p w14:paraId="5B7C59CF" w14:textId="77777777" w:rsidR="003F37FA" w:rsidRDefault="00000000">
      <w:r>
        <w:t>Technology Governance, Risk &amp; Controls, which is responsible for operationalizing technology risk and control frameworks, analyzing regulatory developments that may impact the Firm, and developing control catalogs and assessments of controls, as well as overseeing governance and reporting of technology and cybersecurity risk.</w:t>
      </w:r>
    </w:p>
    <w:p w14:paraId="4C8E37EF" w14:textId="77777777" w:rsidR="003F37FA" w:rsidRDefault="00000000">
      <w:r>
        <w:t>Security Awareness, which provides awareness and training that reinforces information risk and security management practices and compliance with the Firm's policies, standards and practices.</w:t>
      </w:r>
    </w:p>
    <w:p w14:paraId="0704AE95" w14:textId="77777777" w:rsidR="003F37FA" w:rsidRDefault="00000000">
      <w:r>
        <w:t>The training is mandatory for all employees globally on a periodic basis, and it is supplemented by Firmwide testing initiatives, including periodic phishing tests.</w:t>
      </w:r>
    </w:p>
    <w:p w14:paraId="59AA4D0A" w14:textId="77777777" w:rsidR="003F37FA" w:rsidRDefault="00000000">
      <w:r>
        <w:t>Governance and oversight The governance structure for the Global Cybersecurity and Technology Controls organization is designed to appropriately identify, escalate and mitigate cybersecurity risks.</w:t>
      </w:r>
    </w:p>
    <w:p w14:paraId="755A5A56" w14:textId="77777777" w:rsidR="003F37FA" w:rsidRDefault="00000000">
      <w:r>
        <w:t>IRM independently assesses and challenges the activities and risk management practices of the Global Cybersecurity and Technology Controls organization related to the identification, assessment, measurement and mitigation of cybersecurity risk.</w:t>
      </w:r>
    </w:p>
    <w:p w14:paraId="2648900D" w14:textId="77777777" w:rsidR="003F37FA" w:rsidRDefault="00000000">
      <w:r>
        <w:lastRenderedPageBreak/>
        <w:t>As needed, the Firm engages third-party assessors or auditing firms with industry-recognized expertise on cybersecurity matters to review specific aspects of the Firm’s cybersecurity risk management framework, processes and controls.</w:t>
      </w:r>
    </w:p>
    <w:p w14:paraId="48CB1179" w14:textId="77777777" w:rsidR="003F37FA" w:rsidRDefault="00000000">
      <w:r>
        <w:t>The GTOC is responsible for the governance of the Firmwide Global Technology organization, including oversight of Firmwide technology strategies, the delivery of technology and technology operations, the effective use of information technology resources, and monitoring and resolving key operational risk and control matters arising in the Global Technology organization.</w:t>
      </w:r>
    </w:p>
    <w:p w14:paraId="316A2520" w14:textId="77777777" w:rsidR="003F37FA" w:rsidRDefault="00000000">
      <w:r>
        <w:t>These updates generally include information regarding cybersecurity and technology developments, the Firm’s Information Security Program and recommended changes to that program, cybersecurity policies and practices, and ongoing initiatives to improve information security, as well as any significant cybersecurity incidents and the Firm's efforts to address those incidents.</w:t>
      </w:r>
    </w:p>
    <w:p w14:paraId="501F121E" w14:textId="77777777" w:rsidR="003F37FA" w:rsidRDefault="00000000">
      <w:r>
        <w:t>Overview Each of the LOBs and Corporate hold primary ownership of and accountability for managing their compliance risk.</w:t>
      </w:r>
    </w:p>
    <w:p w14:paraId="5306EC67" w14:textId="77777777" w:rsidR="003F37FA" w:rsidRDefault="00000000">
      <w:r>
        <w:t>These compliance risks relate to a wide variety of laws, rules and regulations across the LOBs and Corporate, and jurisdictions, and include risks related to financial products and services, relationships and interactions with clients and customers, and employee activities.</w:t>
      </w:r>
    </w:p>
    <w:p w14:paraId="4BA80DA6" w14:textId="77777777" w:rsidR="003F37FA" w:rsidRDefault="00000000">
      <w:r>
        <w:t>Other functions provide oversight of significant regulatory obligations that are specific to their respective areas of responsibility.</w:t>
      </w:r>
    </w:p>
    <w:p w14:paraId="0920782B" w14:textId="77777777" w:rsidR="003F37FA" w:rsidRDefault="00000000">
      <w:r>
        <w:t>Operational Risk and Compliance implements policies and standards designed to govern, identify, measure, monitor and test, manage, and report on compliance risk.</w:t>
      </w:r>
    </w:p>
    <w:p w14:paraId="3DAEBB73" w14:textId="77777777" w:rsidR="003F37FA" w:rsidRDefault="00000000">
      <w:r>
        <w:t>Governance and oversight Operational Risk and Compliance is led by the Firm’s Global CCO and FRE for Operational Risk and Qualitative Risk Appetite.</w:t>
      </w:r>
    </w:p>
    <w:p w14:paraId="7359FC99" w14:textId="77777777" w:rsidR="003F37FA" w:rsidRDefault="00000000">
      <w:r>
        <w:t>Employees are required to affirm their compliance with the Code annually.</w:t>
      </w:r>
    </w:p>
    <w:p w14:paraId="4D5E90B4" w14:textId="788F195A" w:rsidR="003F37FA" w:rsidRDefault="00000000">
      <w:r>
        <w:t>Conduct risk, a subcategory of operational risk, is the risk that any action or misconduct by an employee could lead to unfair client or customer outcomes, impact the integrity of the markets in which the Firm operates, harm employees or the Firm, or compromise the Firm’s reputation.</w:t>
      </w:r>
    </w:p>
    <w:p w14:paraId="3FE21CDC" w14:textId="77777777" w:rsidR="003F37FA" w:rsidRDefault="00000000">
      <w:r>
        <w:t>With the Business Principles serving as a guide, the Firm’s Code sets out the Firm’s expectations for each employee and provides information and resources to help employees conduct business ethically and in compliance with applicable laws, rules and regulations everywhere the Firm operates.</w:t>
      </w:r>
    </w:p>
    <w:p w14:paraId="607A0B19" w14:textId="77777777" w:rsidR="003F37FA" w:rsidRDefault="00000000">
      <w:r>
        <w:t>Refer to Compliance Risk Management on for further discussion of the Code.</w:t>
      </w:r>
    </w:p>
    <w:p w14:paraId="45089C7E" w14:textId="77777777" w:rsidR="003F37FA" w:rsidRDefault="00000000">
      <w:r>
        <w:lastRenderedPageBreak/>
        <w:t>Governance and oversight The Firm maintains oversight and coordination of its conduct risk through the CCOR Management Framework.</w:t>
      </w:r>
    </w:p>
    <w:p w14:paraId="76686284" w14:textId="77777777" w:rsidR="003F37FA" w:rsidRDefault="00000000">
      <w:r>
        <w:t>The Firm has a senior forum that provides oversight of the Firm’s conduct initiatives to develop a more holistic view of conduct risks and to connect key programs across the Firm in order to identify opportunities and emerging areas of focus.</w:t>
      </w:r>
    </w:p>
    <w:p w14:paraId="1D984C81" w14:textId="77777777" w:rsidR="003F37FA" w:rsidRDefault="00000000">
      <w:r>
        <w:t>This forum is responsible for setting overall program direction for strategic enhancements to the Firm's employee conduct framework and reviewing the consolidated Firmwide Conduct Risk Appetite Assessment.</w:t>
      </w:r>
    </w:p>
    <w:p w14:paraId="76BBAF93" w14:textId="77777777" w:rsidR="003F37FA" w:rsidRDefault="00000000">
      <w:r>
        <w:t>Legal is responsible for managing the Firm’s exposure to legal risk by, managing actual and potential litigation and enforcement matters, including internal reviews and investigations related to such matters advising on products and services, including contract negotiation and documentation advising on offering and marketing documents and new business initiatives managing dispute resolution interpreting existing laws, rules and regulations, and advising on changes to them advising on advocacy in connection with contemplated and proposed laws, rules and regulations, and providing legal advice to the LOBs, Corporate and the Board.</w:t>
      </w:r>
    </w:p>
    <w:p w14:paraId="194B9BE2" w14:textId="77777777" w:rsidR="003F37FA" w:rsidRDefault="00000000">
      <w:r>
        <w:t>Governance and oversight The Firm’s General Counsel reports to the CEO and is a member of the Operating Committee, the Firmwide Risk Committee and the Firmwide Control Committee.</w:t>
      </w:r>
    </w:p>
    <w:p w14:paraId="04A7DBC9" w14:textId="77777777" w:rsidR="003F37FA" w:rsidRDefault="00000000">
      <w:r>
        <w:t>The governance of analytical and judgment-based estimations within MRGR’s scope follows a consistent approach which is used for models, as described in detail below.</w:t>
      </w:r>
    </w:p>
    <w:p w14:paraId="36A767B7" w14:textId="77777777" w:rsidR="003F37FA" w:rsidRDefault="00000000">
      <w:r>
        <w:t>Under the Firm’s Estimations and Model Risk Management Policy, MRGR reviews and approves new models, as well as material changes to existing models, prior to their use.</w:t>
      </w:r>
    </w:p>
    <w:p w14:paraId="4F42AC13" w14:textId="77777777" w:rsidR="003F37FA" w:rsidRDefault="00000000">
      <w:r>
        <w:t>The allowance for credit losses involves significant judgment on a number of matters including development and weighting of macroeconomic forecasts, incorporation of historical loss experience, assessment of risk characteristics, assignment of risk ratings, valuation of collateral, and the determination of remaining expected life.</w:t>
      </w:r>
    </w:p>
    <w:p w14:paraId="4BD03183" w14:textId="77777777" w:rsidR="003F37FA" w:rsidRDefault="00000000">
      <w:r>
        <w:t>Heightened regulatory and governmental oversight and scrutiny of JPMorgan Chase’s business practices, including dealings with retail customers.</w:t>
      </w:r>
    </w:p>
    <w:p w14:paraId="0D085BEA" w14:textId="77777777" w:rsidR="003F37FA" w:rsidRDefault="00000000">
      <w:r>
        <w:t>Ability of the Firm to appropriately address social, environmental and sustainability concerns that may arise, including from its business activities.</w:t>
      </w:r>
    </w:p>
    <w:p w14:paraId="14BAD403" w14:textId="77777777" w:rsidR="003F37FA" w:rsidRDefault="00000000">
      <w:r>
        <w:t>Adequacy of the Firm’s risk management framework, disclosure controls and procedures and internal control over financial reporting.</w:t>
      </w:r>
    </w:p>
    <w:p w14:paraId="5E642CD0" w14:textId="77777777" w:rsidR="003F37FA" w:rsidRDefault="00000000">
      <w:r>
        <w:t>The reader should, however, consult any further disclosures of a forward-looking nature the Firm may make in any subsequent Annual Reports on Form 10-Ks, Quarterly Reports on Form 10-Qs, or Current Reports on Form 8-K.</w:t>
      </w:r>
    </w:p>
    <w:p w14:paraId="33D7BE84" w14:textId="36908DC3" w:rsidR="003F37FA" w:rsidRDefault="00000000">
      <w:r>
        <w:lastRenderedPageBreak/>
        <w:t>JPMorgan Chase or the Firm is responsible for establishing and maintaining adequate internal control over financial reporting.</w:t>
      </w:r>
    </w:p>
    <w:p w14:paraId="76B4A325" w14:textId="5D7E4253" w:rsidR="003F37FA" w:rsidRDefault="00000000">
      <w:r>
        <w:t>In making the assessment, management used the Internal Control</w:t>
      </w:r>
      <w:r w:rsidR="00C952D9">
        <w:t xml:space="preserve"> </w:t>
      </w:r>
      <w:r>
        <w:t>Integrated Framework COSO 2013 promulgated by the Committee of Sponsoring Organizations of the Treadway Commission COSO.</w:t>
      </w:r>
    </w:p>
    <w:p w14:paraId="0AE3B071" w14:textId="77777777" w:rsidR="003F37FA" w:rsidRDefault="00000000">
      <w:r>
        <w:t>Based upon the assessment performed, management concluded that as of December 31, 2023, JPMorgan Chase’s internal control over financial reporting was effective based upon the COSO 2013 framework.</w:t>
      </w:r>
    </w:p>
    <w:p w14:paraId="5BF4850A" w14:textId="77777777" w:rsidR="003F37FA" w:rsidRDefault="00000000">
      <w:r>
        <w:t>The effectiveness of the Firm’s internal control over financial reporting as of December 31, 2023, has been audited by PricewaterhouseCoopers LLP, an independent registered public accounting firm, as stated in their report which appears herein.</w:t>
      </w:r>
    </w:p>
    <w:p w14:paraId="4EA0ADFE" w14:textId="77777777" w:rsidR="003F37FA" w:rsidRDefault="00000000">
      <w:r>
        <w:t>We also have audited the Firm’s internal control over financial reporting as of December 31, 2023, based on criteria established in Internal Control Integrated Framework, issued by the Committee of Sponsoring Organizations of the Treadway Commission .</w:t>
      </w:r>
    </w:p>
    <w:p w14:paraId="053FCF8E" w14:textId="791A9802" w:rsidR="003F37FA" w:rsidRDefault="00000000">
      <w:r>
        <w:t>Also in our opinion, the Firm maintained, in all material respects, effective internal control over financial reporting as of December 31, 2023, based on criteria established in Internal Control</w:t>
      </w:r>
      <w:r w:rsidR="00E445A5">
        <w:t xml:space="preserve"> </w:t>
      </w:r>
      <w:r>
        <w:t>Integrated Framework, issued by the COSO.</w:t>
      </w:r>
    </w:p>
    <w:p w14:paraId="7C0A2BBC" w14:textId="77777777" w:rsidR="003F37FA" w:rsidRDefault="00000000">
      <w:r>
        <w:t>Our responsibility is to express opinions on the Firm’s consolidated financial statements and on the Firm’s internal control over financial reporting based on our audits.</w:t>
      </w:r>
    </w:p>
    <w:p w14:paraId="2D3CD17F" w14:textId="77777777" w:rsidR="003F37FA" w:rsidRDefault="00000000">
      <w:r>
        <w:t>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14:paraId="113DB4E7" w14:textId="77777777" w:rsidR="003F37FA" w:rsidRDefault="00000000">
      <w:r>
        <w:t>Our audit of internal control over financial reporting included obtaining an understanding of internal control over financial reporting, assessing the risk that a material weakness exists, and testing and evaluating the design and operating effectiveness of internal control based on the assessed risk.</w:t>
      </w:r>
    </w:p>
    <w:p w14:paraId="0751CB80" w14:textId="4FC359DF" w:rsidR="003F37FA" w:rsidRDefault="00000000">
      <w:r>
        <w:t>In addition, the Firm’s Valuation Governance Forum VGF, which is composed of senior finance and risk executives, is responsible for overseeing the management of risks arising from valuation activities conducted across the Firm.</w:t>
      </w:r>
    </w:p>
    <w:p w14:paraId="67F8AF36" w14:textId="77777777" w:rsidR="003F37FA" w:rsidRDefault="00000000">
      <w:r>
        <w:t>Under the Firm’s Estimations and Model Risk Management Policy, MRGR reviews and approves new models, as well as material changes to existing models, prior to implementation in the operating environment.</w:t>
      </w:r>
    </w:p>
    <w:p w14:paraId="4A668FEC" w14:textId="77777777" w:rsidR="003F37FA" w:rsidRDefault="00000000">
      <w:r>
        <w:t>In addition, for a derivative to be designated as a hedge, the risk management objective and strategy must be documented.</w:t>
      </w:r>
    </w:p>
    <w:p w14:paraId="747D3701" w14:textId="0C468C5A" w:rsidR="003F37FA" w:rsidRDefault="00000000">
      <w:r>
        <w:lastRenderedPageBreak/>
        <w:t>The Firm does not use notional amounts of credit derivatives as the primary measure of risk management for such derivatives, because the notional amount does not take into account the probability of the occurrence of a credit event, the recovery value of the reference obligation, or related cash instruments and economic hedges, each of which reduces, in the Firm’s view, the risks associated with such derivatives.</w:t>
      </w:r>
    </w:p>
    <w:p w14:paraId="02B428EA" w14:textId="77777777" w:rsidR="003F37FA" w:rsidRDefault="00000000">
      <w:r>
        <w:t>The Firm maintains funded and unfunded postretirement benefit plans that provide medical and life insurance for certain eligible employees and retirees as well as their dependents covered under these programs.</w:t>
      </w:r>
    </w:p>
    <w:p w14:paraId="54923CBF" w14:textId="145B932F" w:rsidR="003F37FA" w:rsidRDefault="00000000">
      <w:r>
        <w:t>Performance share units PSUs are granted annually, and approved by the Firm’s Board of Directors, to members of the Firm’s Operating Committee under the variable compensation program.</w:t>
      </w:r>
    </w:p>
    <w:p w14:paraId="09315DE2" w14:textId="77777777" w:rsidR="003F37FA" w:rsidRDefault="00000000">
      <w:r>
        <w:t>The Firm’s policy for issuing shares upon settlement of employee share-based incentive awards is to issue either new shares of common stock or treasury shares.</w:t>
      </w:r>
    </w:p>
    <w:p w14:paraId="45EB6032" w14:textId="77777777" w:rsidR="003F37FA" w:rsidRDefault="00000000">
      <w:r>
        <w:t>This allocation is made using an approach that incorporates the payment application requirements of the Credit Card Accountability Responsibility and Disclosure Act of 2009, generally paying down the highest interest rate balances first.</w:t>
      </w:r>
    </w:p>
    <w:p w14:paraId="71D647BC" w14:textId="77777777" w:rsidR="003F37FA" w:rsidRDefault="00000000">
      <w:r>
        <w:t>Unanticipated declines in business performance, increases in credit losses, increases in capital requirements, as well as deterioration in economic or market conditions, adverse regulatory or legislative changes or increases in the estimated market cost of equity, could cause the estimated fair values of the Firm’s reporting units to decline in the future, which could result in a material impairment loss to earnings in a future period related to some portion of the associated goodwill.</w:t>
      </w:r>
    </w:p>
    <w:p w14:paraId="448AF4E0" w14:textId="77777777" w:rsidR="003F37FA" w:rsidRDefault="00000000">
      <w:r>
        <w:t>Effective July 1, 2021, the Firm became subject to the normal capital distribution restrictions provided under the regulatory capital framework.</w:t>
      </w:r>
    </w:p>
    <w:p w14:paraId="21E11FB3" w14:textId="77777777" w:rsidR="003F37FA" w:rsidRDefault="00000000">
      <w:r>
        <w:t>The $30 billion common share repurchase program approved by the Board does not establish specific price targets or timetables.</w:t>
      </w:r>
    </w:p>
    <w:p w14:paraId="5489E633" w14:textId="77777777" w:rsidR="003F37FA" w:rsidRDefault="00000000">
      <w:r>
        <w:t>The evaluation of unrecognized tax benefits as well as the potential for audit settlements make it reasonably possible that over the next 12 months the gross balance of unrecognized tax benefits may increase or decrease by as much as approximately $1.</w:t>
      </w:r>
    </w:p>
    <w:p w14:paraId="49511A01" w14:textId="77777777" w:rsidR="003F37FA" w:rsidRDefault="00000000">
      <w:r>
        <w:t>As part of its compliance with the respective regulatory requirements, the Firm’s broker-dealer activities are subject to certain restrictions on cash and other assets.</w:t>
      </w:r>
    </w:p>
    <w:p w14:paraId="475F6C48" w14:textId="77777777" w:rsidR="003F37FA" w:rsidRDefault="00000000">
      <w:r>
        <w:t>The three components of regulatory capital under the Basel III rules are as illustrated below, Under the risk-based capital and leverage-based guidelines of the Federal Reserve, JPMorgan Chase is required to maintain minimum ratios for CET1 capital, Tier 1 capital, Total capital, Tier 1 leverage and the SLR.</w:t>
      </w:r>
    </w:p>
    <w:p w14:paraId="32C9F0C8" w14:textId="77777777" w:rsidR="003F37FA" w:rsidRDefault="00000000">
      <w:r>
        <w:lastRenderedPageBreak/>
        <w:t>Certain of these shareholder suits relate to historical trading practices by former employees in the precious metals and U.</w:t>
      </w:r>
    </w:p>
    <w:p w14:paraId="0826EE58" w14:textId="77777777" w:rsidR="003F37FA" w:rsidRDefault="00000000">
      <w:r>
        <w:t>Treasuries markets and related conduct which were the subject of the Firm’s resolutions with the DOJ, CFTC and SEC in September 2020, and fiduciary activities that were separately the subject of a resolution between JPMorgan Chase Bank, N.</w:t>
      </w:r>
    </w:p>
    <w:p w14:paraId="58925699" w14:textId="77777777" w:rsidR="003F37FA" w:rsidRDefault="00000000">
      <w:r>
        <w:t>And the OCC in November 2020.</w:t>
      </w:r>
    </w:p>
    <w:p w14:paraId="01110101" w14:textId="77777777" w:rsidR="003F37FA" w:rsidRDefault="00000000">
      <w:r>
        <w:t>A separate shareholder derivative suit was filed in March 2022 in the United States District Court for the Eastern District of New York asserting breaches of fiduciary duty and violations of federal securities laws based on the alleged failure of the Board of Directors to exercise adequate oversight over the Firm’s compliance with records preservation requirements which were the subject of resolutions between certain of the Firm’s subsidiaries and the SEC and the CFTC.</w:t>
      </w:r>
    </w:p>
    <w:p w14:paraId="0460398A" w14:textId="77777777" w:rsidR="003F37FA" w:rsidRDefault="00000000">
      <w:r>
        <w:t>JPMorgan Chase grants RSUs to certain employees under its share-based compensation programs, which entitle the recipients to receive nonforfeitable dividends during the vesting period on a basis equivalent to the dividends paid to holders of common stock.</w:t>
      </w:r>
    </w:p>
    <w:p w14:paraId="7A8C231F" w14:textId="09830355" w:rsidR="003F37FA" w:rsidRDefault="00000000">
      <w:r>
        <w:t>Purchased credit deteriorated assets represent acquired financial assets that as of the date of acquisition have experienced a more-than-insignificant deterioration in credit quality since origination, as determined by the Firm.</w:t>
      </w:r>
    </w:p>
    <w:p w14:paraId="6D2C463F" w14:textId="7ED62B13" w:rsidR="003F37FA" w:rsidRDefault="00000000">
      <w:r>
        <w:t>MIX Paper from responsible sources FSC</w:t>
      </w:r>
      <w:r w:rsidR="00E445A5">
        <w:t xml:space="preserve"> </w:t>
      </w:r>
      <w:r>
        <w:t>C020268 For 225 years, with foresight, fortitude and integrity, we have helped shape and improve the future for our shareholders, clients and communities.</w:t>
      </w:r>
    </w:p>
    <w:sectPr w:rsidR="003F37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667175263">
    <w:abstractNumId w:val="8"/>
  </w:num>
  <w:num w:numId="2" w16cid:durableId="676423501">
    <w:abstractNumId w:val="6"/>
  </w:num>
  <w:num w:numId="3" w16cid:durableId="62215221">
    <w:abstractNumId w:val="5"/>
  </w:num>
  <w:num w:numId="4" w16cid:durableId="1230531278">
    <w:abstractNumId w:val="4"/>
  </w:num>
  <w:num w:numId="5" w16cid:durableId="740180926">
    <w:abstractNumId w:val="7"/>
  </w:num>
  <w:num w:numId="6" w16cid:durableId="2123181135">
    <w:abstractNumId w:val="3"/>
  </w:num>
  <w:num w:numId="7" w16cid:durableId="2055621534">
    <w:abstractNumId w:val="2"/>
  </w:num>
  <w:num w:numId="8" w16cid:durableId="1327395012">
    <w:abstractNumId w:val="1"/>
  </w:num>
  <w:num w:numId="9" w16cid:durableId="206236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E6"/>
    <w:rsid w:val="00034616"/>
    <w:rsid w:val="0006063C"/>
    <w:rsid w:val="000E71D7"/>
    <w:rsid w:val="0013131D"/>
    <w:rsid w:val="0015074B"/>
    <w:rsid w:val="001C0911"/>
    <w:rsid w:val="0029639D"/>
    <w:rsid w:val="00326F90"/>
    <w:rsid w:val="003F37FA"/>
    <w:rsid w:val="0044236D"/>
    <w:rsid w:val="008C7D98"/>
    <w:rsid w:val="009308FB"/>
    <w:rsid w:val="00987C5B"/>
    <w:rsid w:val="00A15200"/>
    <w:rsid w:val="00A77238"/>
    <w:rsid w:val="00AA1D8D"/>
    <w:rsid w:val="00B47730"/>
    <w:rsid w:val="00C37B30"/>
    <w:rsid w:val="00C952D9"/>
    <w:rsid w:val="00CB0664"/>
    <w:rsid w:val="00E445A5"/>
    <w:rsid w:val="00EC2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67DBC"/>
  <w14:defaultImageDpi w14:val="300"/>
  <w15:docId w15:val="{54F07462-F3FE-C148-8CD9-D3D33A33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6809</Words>
  <Characters>38816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15</cp:revision>
  <dcterms:created xsi:type="dcterms:W3CDTF">2013-12-23T23:15:00Z</dcterms:created>
  <dcterms:modified xsi:type="dcterms:W3CDTF">2025-07-28T09:48:00Z</dcterms:modified>
  <cp:category/>
</cp:coreProperties>
</file>