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8CBEF" w14:textId="77777777" w:rsidR="00A06DDA" w:rsidRDefault="00000000">
      <w:r>
        <w:t>I would like to thank the Board of Directors for their extraordinary support and guidance during my tenure as CEO.</w:t>
      </w:r>
    </w:p>
    <w:p w14:paraId="5B14489E" w14:textId="77777777" w:rsidR="00A06DDA" w:rsidRDefault="00000000">
      <w:r>
        <w:t>In anticipation of the 2024 Say on Pay vote, we continued our engagement program, seeking feedback from shareholders and proxy advisory firms on a variety of topics, including our strategy, financial performance, executive compensation, corporate governance, human capital management, and environmental and social goals.</w:t>
      </w:r>
    </w:p>
    <w:p w14:paraId="3432C977" w14:textId="77777777" w:rsidR="00A06DDA" w:rsidRDefault="00000000">
      <w:r>
        <w:t>After carefully considering shareholder feedback and other factors, the CMDS Committee maintained its performance-based approach to executive compensation for 2023.</w:t>
      </w:r>
    </w:p>
    <w:p w14:paraId="1B679B92" w14:textId="77777777" w:rsidR="00A06DDA" w:rsidRDefault="00000000">
      <w:r>
        <w:t>The Board believes that, in totality, the mix of experience and qualifications and the diversity of attributes and skills among the nominees enhances our Boards effectiveness and is aligned with the Firms long-term strategy.</w:t>
      </w:r>
    </w:p>
    <w:p w14:paraId="70C7F27F" w14:textId="77777777" w:rsidR="00A06DDA" w:rsidRDefault="00000000">
      <w:r>
        <w:t>Our directors have a combined wealth of leadership experience derived from extensive service guiding large, complex organizations as executive leaders or board members and in government, academia and public policy, and possess a diversity of qualifications, attributes and skills applicable to our business and long-term strategy.</w:t>
      </w:r>
    </w:p>
    <w:p w14:paraId="41AEF6C3" w14:textId="77777777" w:rsidR="00A06DDA" w:rsidRDefault="00000000">
      <w:r>
        <w:t>Member of the Transition Advisory Group, advising the International Financial Reporting Standards Foundation Trustees and the International Sustainability Standards Board since August 2022.</w:t>
      </w:r>
    </w:p>
    <w:p w14:paraId="703D5DA5" w14:textId="77777777" w:rsidR="00A06DDA" w:rsidRDefault="00000000">
      <w:r>
        <w:t>Member of the Standing Advisory Group of the Public Company Accounting Oversight Board from 2012 to 2020, and served on the Accounting Standards Oversight Council of Canada from 2011 to March 2017.</w:t>
      </w:r>
    </w:p>
    <w:p w14:paraId="7D3E75BA" w14:textId="77777777" w:rsidR="00A06DDA" w:rsidRDefault="00000000">
      <w:r>
        <w:t>Professional Experience, President of SL Advisory since 2016, which provides advice and insights in innovation and digital transformation, information technology portfolio and risk management, digital trust, performance metrics, and effective governance.</w:t>
      </w:r>
    </w:p>
    <w:p w14:paraId="60376B43" w14:textId="77777777" w:rsidR="00A06DDA" w:rsidRDefault="00000000">
      <w:r>
        <w:t>The governance practices highlighted below are reflected in the Corporate Governance Policies, our bylaws and the Board committee charters, as applicable.</w:t>
      </w:r>
    </w:p>
    <w:p w14:paraId="491ACB92" w14:textId="77777777" w:rsidR="00A06DDA" w:rsidRDefault="00000000">
      <w:r>
        <w:t>The Board oversees the Firms global ERM framework and is responsible for helping to ensure that the Firms risks, including reputational risks, are managed in a sound manner.</w:t>
      </w:r>
    </w:p>
    <w:p w14:paraId="24007EE6" w14:textId="77777777" w:rsidR="00A06DDA" w:rsidRDefault="00000000">
      <w:r>
        <w:t>The Board oversees the Firms strategy, targets and public commitments relating to sustainability matters.</w:t>
      </w:r>
    </w:p>
    <w:p w14:paraId="421115BF" w14:textId="77777777" w:rsidR="00A06DDA" w:rsidRDefault="00000000">
      <w:r>
        <w:t>Directors also have complete and open access to senior members of management and other employees of the Firm.</w:t>
      </w:r>
    </w:p>
    <w:p w14:paraId="247C1236" w14:textId="77777777" w:rsidR="00A06DDA" w:rsidRDefault="00000000">
      <w:r>
        <w:t>New directors also receive presentations by senior management on the Firms strategy and regulatory framework, its primary business lines, and risk and control framework, and have a one-on-one session with the CEO.</w:t>
      </w:r>
    </w:p>
    <w:p w14:paraId="46D36294" w14:textId="77777777" w:rsidR="00A06DDA" w:rsidRDefault="00000000">
      <w:r>
        <w:lastRenderedPageBreak/>
        <w:t>We also conduct ongoing educational briefings on ESG, regulatory and control matters, as well as deep dive presentations on certain businesses, emerging risks and focus areas identified by the Board.</w:t>
      </w:r>
    </w:p>
    <w:p w14:paraId="3679B41D" w14:textId="77777777" w:rsidR="00A06DDA" w:rsidRDefault="00000000">
      <w:r>
        <w:t>The prioritization of Board and committee meeting agendas in order to allow sufficient time for discussion of our strategy, regulatory matters, ESG and key risks.</w:t>
      </w:r>
    </w:p>
    <w:p w14:paraId="75FF8909" w14:textId="77777777" w:rsidR="00A06DDA" w:rsidRDefault="00000000">
      <w:r>
        <w:t>Focus on particular qualifications, attributes including ethnic and gender diversity, and skills of potential Board candidates.</w:t>
      </w:r>
    </w:p>
    <w:p w14:paraId="67390991" w14:textId="77777777" w:rsidR="00A06DDA" w:rsidRDefault="00000000">
      <w:r>
        <w:t>In order for director candidate recommendations to be considered for the 2025 annual meeting of shareholders, recommendations must be submitted in accordance with the policy by December 6, 2024.</w:t>
      </w:r>
    </w:p>
    <w:p w14:paraId="1230DDB7" w14:textId="77777777" w:rsidR="00A06DDA" w:rsidRDefault="00000000">
      <w:r>
        <w:t>We also speak with proxy advisors to discuss, and receive feedback on, our governance practices and executive compensation programs.</w:t>
      </w:r>
    </w:p>
    <w:p w14:paraId="77B66761" w14:textId="77777777" w:rsidR="00A06DDA" w:rsidRDefault="00000000">
      <w:r>
        <w:t>Addresses oversight of Morgan Stanleys legislative and regulatory priorities and its participation in the public policy arena, as well as lobbying activities and expenditures related thereto, by the CLO and CAO of the Firm, who is a member of the Operating Committee and reports to the CEO, and oversight of significant lobbying priorities and expenditures by the Governance and Sustainability Committee.</w:t>
      </w:r>
    </w:p>
    <w:p w14:paraId="2BA8F365" w14:textId="77777777" w:rsidR="00A06DDA" w:rsidRDefault="00000000">
      <w:r>
        <w:t>Provides that the Governance and Sustainability Committee oversees the Corporate Political Activities Policy Statement and the activities addressed by it.</w:t>
      </w:r>
    </w:p>
    <w:p w14:paraId="0B8E269D" w14:textId="77777777" w:rsidR="00A06DDA" w:rsidRDefault="00000000">
      <w:r>
        <w:t>Sustainability at Morgan Stanley SUSTAINABILITY GOVERNANCE Morgan Stanley seeks to integrate sustainability considerations into corporate policies, business activities, operations and culture.</w:t>
      </w:r>
    </w:p>
    <w:p w14:paraId="676BFBFF" w14:textId="77777777" w:rsidR="00A06DDA" w:rsidRDefault="00000000">
      <w:r>
        <w:t>In addition, our Environmental and Social Policy Statement outlines our approach to environmental and social risk management.</w:t>
      </w:r>
    </w:p>
    <w:p w14:paraId="34AF50DC" w14:textId="77777777" w:rsidR="00A06DDA" w:rsidRDefault="00000000">
      <w:r>
        <w:t>Our due diligence and risk management processes are designed to identify, analyze and address potentially significant environmental and social issues that may impact us, our clients and other stakeholders.</w:t>
      </w:r>
    </w:p>
    <w:p w14:paraId="44BDDEFD" w14:textId="77777777" w:rsidR="00A06DDA" w:rsidRDefault="00000000">
      <w:r>
        <w:t>Firmwide Sustainability Takes a responsible and proactive approach to integrating sustainability considerations across our business practices, operations and culture.</w:t>
      </w:r>
    </w:p>
    <w:p w14:paraId="43206C4C" w14:textId="32B53A51" w:rsidR="00A06DDA" w:rsidRDefault="00000000">
      <w:r>
        <w:t xml:space="preserve">The CRA program seeks to transform communities quality of life through a focus on, Quality Multi-family Affordable Housing New Construction and Rehabilitation Preservation and Extension of Affordability Resident Services Homelessness Prevention Capital for Public Housing Healthy Communities Primary Care Clinics Healthy Foods Equitable Transit-Oriented Developments Economic Development Quality Jobs Entrepreneurs Giving Back to the Community Morgan Stanley is committed to creating significant and meaningful impact </w:t>
      </w:r>
      <w:r>
        <w:lastRenderedPageBreak/>
        <w:t>for the communities where we live and work through long-lasting partnerships and engaging our best asset our employees.</w:t>
      </w:r>
    </w:p>
    <w:p w14:paraId="4DE77806" w14:textId="77777777" w:rsidR="00A06DDA" w:rsidRDefault="00000000">
      <w:r>
        <w:t>Our Firm and employees continue to support childrens physical and mental health, volunteer for local organizations in our communities, deliver strategic pro bono work, and more.</w:t>
      </w:r>
    </w:p>
    <w:p w14:paraId="43F464E8" w14:textId="77777777" w:rsidR="00A06DDA" w:rsidRDefault="00000000">
      <w:r>
        <w:t>The impact of our philanthropic initiatives includes, In 2023, the Firm, its charitable foundations and employees collectively donated over $160 million.</w:t>
      </w:r>
    </w:p>
    <w:p w14:paraId="11CFF33F" w14:textId="2C6BFDD4" w:rsidR="00A06DDA" w:rsidRDefault="00000000">
      <w:r>
        <w:t>Giving/Initiatives Corporate Governance Matters 34 MORGAN STANLEY 2024 PROXY STATEMENT During our annual Global Volunteer Month in 2023, over 60,000 employees</w:t>
      </w:r>
      <w:r w:rsidR="006D105B">
        <w:t xml:space="preserve"> </w:t>
      </w:r>
      <w:r>
        <w:t>nearly 75% of our Firmin 34 countries devoted over 295,000 hours to volunteer projects that supported local organizations addressing hunger relief, environmental conservation, education and much more.</w:t>
      </w:r>
    </w:p>
    <w:p w14:paraId="0E1BBE94" w14:textId="7CB9B40D" w:rsidR="00A06DDA" w:rsidRDefault="003C5583">
      <w:r>
        <w:t>T</w:t>
      </w:r>
      <w:r w:rsidR="00000000">
        <w:t>o facilitate talent attraction and retention, we strive to make Morgan Stanley a diverse and inclusive workplace, with a strong culture and opportunities for our employees to grow and develop in their careers.</w:t>
      </w:r>
    </w:p>
    <w:p w14:paraId="596AE13F" w14:textId="77777777" w:rsidR="00A06DDA" w:rsidRDefault="00000000">
      <w:r>
        <w:t>In 2023, we continued to drive strong organizational culture and enhanced our programs to further support our employees globally.</w:t>
      </w:r>
    </w:p>
    <w:p w14:paraId="7450118A" w14:textId="77777777" w:rsidR="00A06DDA" w:rsidRDefault="00000000">
      <w:r>
        <w:t>Highlights included, launching a comprehensive HR Modernization effort that includes tech-enabled solutions to support the retention and development of all employees at every stage in their career.</w:t>
      </w:r>
    </w:p>
    <w:p w14:paraId="3EBDCB4D" w14:textId="77777777" w:rsidR="00A06DDA" w:rsidRDefault="00000000">
      <w:r>
        <w:t>The Boards standing committees have oversight over risk management and risk assessment guidelines and policies related to each committees duties and responsibilities.</w:t>
      </w:r>
    </w:p>
    <w:p w14:paraId="122D1FAB" w14:textId="77777777" w:rsidR="00A06DDA" w:rsidRDefault="00000000">
      <w:r>
        <w:t>Oversees the appointment, compensation and performance of the Chief Audit Officer, who reports functionally to the Audit Committee, and the scope of work of the internal audit function.</w:t>
      </w:r>
    </w:p>
    <w:p w14:paraId="68249CAA" w14:textId="77777777" w:rsidR="00A06DDA" w:rsidRDefault="00000000">
      <w:r>
        <w:t>Oversees incentive compensation practices and arrangements to help ensure that such practices and arrangements appropriately balance risk and financial results in a manner that does not encourage employees to expose the Firm to imprudent financial or non-financial risk and are consistent with applicable related regulatory rules and guidance.</w:t>
      </w:r>
    </w:p>
    <w:p w14:paraId="5F9B12C7" w14:textId="77777777" w:rsidR="00A06DDA" w:rsidRDefault="00000000">
      <w:r>
        <w:t>Reviews voluntary public disclosures and shareholder proposals relating to human capital, executive compensation and other matters subject to Committee oversight, and oversees actions to seek shareholder approval of executive compensation matters.</w:t>
      </w:r>
    </w:p>
    <w:p w14:paraId="5B2C4125" w14:textId="77777777" w:rsidR="00A06DDA" w:rsidRDefault="00000000">
      <w:r>
        <w:t>Reviews at least quarterly the significant operational risk exposures of the Firm and its business units, including information technology, information security, fraud, third-party oversight, business disruption and resilience and cybersecurity risks, and the steps management has taken to monitor and control such exposures.</w:t>
      </w:r>
    </w:p>
    <w:p w14:paraId="4BCC1503" w14:textId="77777777" w:rsidR="00A06DDA" w:rsidRDefault="00000000">
      <w:r>
        <w:lastRenderedPageBreak/>
        <w:t>Oversees the performance of the CRO who reports to the Risk Committee and the CEO and the risk management function.</w:t>
      </w:r>
    </w:p>
    <w:p w14:paraId="6F4EF57E" w14:textId="77777777" w:rsidR="00A06DDA" w:rsidRDefault="00000000">
      <w:r>
        <w:t>The Boards key standing committees are composed solely of non-management directors.</w:t>
      </w:r>
    </w:p>
    <w:p w14:paraId="432CE812" w14:textId="77777777" w:rsidR="00A06DDA" w:rsidRDefault="00000000">
      <w:r>
        <w:t>The Boards non-management directors meet regularly in executive session.</w:t>
      </w:r>
    </w:p>
    <w:p w14:paraId="2CCFD9C6" w14:textId="77777777" w:rsidR="00A06DDA" w:rsidRDefault="00000000">
      <w:r>
        <w:t>Such reporting includes updates on the Firms cybersecurity program, the external threat environment, and the Firms programs to address and mitigate the risks associated with the evolving cybersecurity threat environment.</w:t>
      </w:r>
    </w:p>
    <w:p w14:paraId="3CE25599" w14:textId="77777777" w:rsidR="00A06DDA" w:rsidRDefault="00000000">
      <w:r>
        <w:t>Picks strategic leadership, strong track record of building and growing our client franchise, developing and retaining talent, allocating capital with sound risk management, and carrying forward our culture and values, position him well to serve as CEO.</w:t>
      </w:r>
    </w:p>
    <w:p w14:paraId="51FAB229" w14:textId="77777777" w:rsidR="00A06DDA" w:rsidRDefault="00000000">
      <w:r>
        <w:t>Our governance and compensation practices are designed to comply with ongoing guidance provided by our regulators.</w:t>
      </w:r>
    </w:p>
    <w:p w14:paraId="1991B819" w14:textId="77777777" w:rsidR="00A06DDA" w:rsidRDefault="00000000">
      <w:r>
        <w:t>For Operating Committee members, this risk management performance information includes performance priorities that reflect risk as an element of the executives financial goals, inputs from the Companys control functions, and a year-end performance review summary.</w:t>
      </w:r>
    </w:p>
    <w:p w14:paraId="06504B76" w14:textId="77777777" w:rsidR="00A06DDA" w:rsidRDefault="00000000">
      <w:r>
        <w:t>The CMDS Committee also receives feedback regarding risk management performance, including employee conduct.</w:t>
      </w:r>
    </w:p>
    <w:p w14:paraId="516BA012" w14:textId="77777777" w:rsidR="00A06DDA" w:rsidRDefault="00000000">
      <w:r>
        <w:t>Internal Audit annually reviews the operational effectiveness of the incentive compensation program, using a risk-based approach to evaluate plan design, pay execution, program governance, and conformity with regulatory requirements.</w:t>
      </w:r>
    </w:p>
    <w:p w14:paraId="28E8A0D7" w14:textId="08893A36" w:rsidR="00A06DDA" w:rsidRDefault="00000000">
      <w:r>
        <w:t>In furtherance of these goals, our directors are bound by a shareholder-approved annual compensation cash and equity limit of $750,000 and an equity ownership requirement of five times the annual cash Board retainer.</w:t>
      </w:r>
    </w:p>
    <w:p w14:paraId="7F6F2AD3" w14:textId="77777777" w:rsidR="00A06DDA" w:rsidRDefault="00000000">
      <w:r>
        <w:t>Under the policy, in determining whether to approve or ratify such related person transactions, the Governance and Sustainability Committee considers all relevant facts and circumstances, including, but not limited to, the terms and commercial reasonableness of the transaction.</w:t>
      </w:r>
    </w:p>
    <w:p w14:paraId="66CACEDF" w14:textId="77777777" w:rsidR="00A06DDA" w:rsidRDefault="00000000">
      <w:r>
        <w:t>The compensation and benefits for this employee were determined in accordance with the Firms standard compensation practices applicable to similarly situated employees.</w:t>
      </w:r>
    </w:p>
    <w:p w14:paraId="0D6F2259" w14:textId="77777777" w:rsidR="00A06DDA" w:rsidRDefault="00000000">
      <w:r>
        <w:t>After considering the candidates recommended by Deloitte, Firm management recommended a proposed candidate to be interviewed by the Audit Committee.</w:t>
      </w:r>
    </w:p>
    <w:p w14:paraId="7B8561EE" w14:textId="77777777" w:rsidR="00A06DDA" w:rsidRDefault="00000000">
      <w:r>
        <w:t>The Audit Committee then discussed the desired qualifications of the lead audit partner, interviewed the proposed candidate for lead audit partner recommended by management, and approved the selection of the current lead audit partner of the Firm.</w:t>
      </w:r>
    </w:p>
    <w:p w14:paraId="470AF11B" w14:textId="77777777" w:rsidR="00A06DDA" w:rsidRDefault="00000000">
      <w:r>
        <w:lastRenderedPageBreak/>
        <w:t>Deloittes global capabilities and expertise in handling the breadth and complexity of the Firms global operations and businesses, accounting policies and internal control over financial reporting, including Deloittes use of technology, specialists and subject matter experts and the sharing of industry insights, trends and emerging practices.</w:t>
      </w:r>
    </w:p>
    <w:p w14:paraId="09D06637" w14:textId="77777777" w:rsidR="00A06DDA" w:rsidRDefault="00000000">
      <w:r>
        <w:t>The Audit Committee serves in an oversight capacity and is not part of the Firms managerial or operational decision-making process.</w:t>
      </w:r>
    </w:p>
    <w:p w14:paraId="1AEDF172" w14:textId="77777777" w:rsidR="00A06DDA" w:rsidRDefault="00000000">
      <w:r>
        <w:t>Management is responsible for the financial reporting process, including the system of internal controls, for the preparation of consolidated financial statements in accordance with accounting principles generally accepted in the U.</w:t>
      </w:r>
    </w:p>
    <w:p w14:paraId="3554755C" w14:textId="77777777" w:rsidR="00A06DDA" w:rsidRDefault="00000000">
      <w:r>
        <w:t>And for the report on the Firms internal control over financial reporting.</w:t>
      </w:r>
    </w:p>
    <w:p w14:paraId="04272730" w14:textId="77777777" w:rsidR="00A06DDA" w:rsidRDefault="00000000">
      <w:r>
        <w:t>Reviewed and discussed reports from management on the Firms policies regarding applicable legal and regulatory requirements, and reviewed, discussed and approved the Firms annual compliance plan.</w:t>
      </w:r>
    </w:p>
    <w:p w14:paraId="6D170AF7" w14:textId="77777777" w:rsidR="00A06DDA" w:rsidRDefault="00000000">
      <w:r>
        <w:t>Met with and received reports from senior representatives of the Finance Department, the Legal and Compliance Division and the Internal Audit Department.</w:t>
      </w:r>
    </w:p>
    <w:p w14:paraId="280C9E38" w14:textId="77777777" w:rsidR="00A06DDA" w:rsidRDefault="00000000">
      <w:r>
        <w:t>We also discussed with Deloitte its independence from the Firm, and considered if services it provided to the Firm beyond those rendered in connection with its audit of the Firms consolidated financial statements, reviews of the Firms interim condensed consolidated financial statements included in its Quarterly Reports on Form 10-Q and its opinion on the effectiveness of the Firms internal control over financial reporting were compatible with maintaining its independence.</w:t>
      </w:r>
    </w:p>
    <w:p w14:paraId="2457EC63" w14:textId="77777777" w:rsidR="00A06DDA" w:rsidRDefault="00000000">
      <w:r>
        <w:t xml:space="preserve">Nally Audit Matters 56 MORGAN STANLEY 2024 PROXY STATEMENT Independent Auditors Fees </w:t>
      </w:r>
      <w:proofErr w:type="gramStart"/>
      <w:r>
        <w:t>The</w:t>
      </w:r>
      <w:proofErr w:type="gramEnd"/>
      <w:r>
        <w:t xml:space="preserve"> Audit Committee is responsible for overseeing the audit fee negotiations associated with the engagement of Deloitte, including considering the appropriateness of fees relative to both audit quality and efficiency.</w:t>
      </w:r>
    </w:p>
    <w:p w14:paraId="5C1448D0" w14:textId="77777777" w:rsidR="00A06DDA" w:rsidRDefault="00000000">
      <w:r>
        <w:t>As this Say on Pay vote is advisory, the result will not be binding on our Board, although the CMDS Committee will consider the outcome of the vote when evaluating the effectiveness of our executive compensation program and making future executive compensation decisions.</w:t>
      </w:r>
    </w:p>
    <w:p w14:paraId="113A2BE8" w14:textId="77777777" w:rsidR="00A06DDA" w:rsidRDefault="00000000">
      <w:r>
        <w:t>In light of the significant majority of votes cast in favor of the 2022 compensation of our NEOs, the CMDS Committee maintained its performance-based approach to executive compensation for 2023 and believes that our current program appropriately links the compensation of our NEOs to performance and properly aligns the interests of our NEOs with those of our shareholders.</w:t>
      </w:r>
    </w:p>
    <w:p w14:paraId="7FB31CAC" w14:textId="77777777" w:rsidR="00A06DDA" w:rsidRDefault="00000000">
      <w:r>
        <w:t>The CMDS Committees commitment to these compensation objectives is demonstrated in the structure of executive compensation and in the CMDS Committees CEO pay framework detailed in this CD&amp;A.</w:t>
      </w:r>
    </w:p>
    <w:p w14:paraId="155FF7EF" w14:textId="77777777" w:rsidR="00A06DDA" w:rsidRDefault="00000000">
      <w:r>
        <w:lastRenderedPageBreak/>
        <w:t>It was crucial to the Firm and our shareholders that the Board select the best-suited candidate as CEO and also retain and motivate the remaining strong candidates to support him.</w:t>
      </w:r>
    </w:p>
    <w:p w14:paraId="1DB752A2" w14:textId="77777777" w:rsidR="00A06DDA" w:rsidRDefault="00000000">
      <w:r>
        <w:t>Gormans focus on career development was thoughtful and purposeful in order to set the Firm up for long-term future success.</w:t>
      </w:r>
    </w:p>
    <w:p w14:paraId="1CE9DD48" w14:textId="77777777" w:rsidR="00A06DDA" w:rsidRDefault="00000000">
      <w:r>
        <w:t>In determining the portions of compensation to award as cash bonus, deferred incentive compensation, RSUs and PSUs, the CMDS Committee considers applicable regulatory requirements and guidelines for deferral, as well as market practices and shareholder feedback.</w:t>
      </w:r>
    </w:p>
    <w:p w14:paraId="52DAD11F" w14:textId="77777777" w:rsidR="00A06DDA" w:rsidRDefault="00000000">
      <w:r>
        <w:t>Our Board recognizes that an annual advisory vote on executive compensation allows our shareholders to provide us every year with their view on our compensation philosophy, policies and practices as disclosed annually in the proxy statement, and believes that an annual advisory vote on executive compensation is consistent with our practice of seeking the views of, and engaging in discussions with, our shareholders on corporate governance matters and our executive compensation philosophy, policies and practices.</w:t>
      </w:r>
    </w:p>
    <w:p w14:paraId="2F95746B" w14:textId="77777777" w:rsidR="00A06DDA" w:rsidRDefault="00000000">
      <w:r>
        <w:t>In 2023, we continued our engagement program, seeking feedback from shareholders and proxy advisory firms on a variety of topics, including our strategy, financial performance, executive compensation, corporate governance, human capital management, and environmental and social goals.</w:t>
      </w:r>
    </w:p>
    <w:p w14:paraId="13A004C4" w14:textId="77777777" w:rsidR="00A06DDA" w:rsidRDefault="00000000">
      <w:r>
        <w:t>After carefully considering shareholder feedback and other factors, the CMDS Committee maintained its performance-based approach to executive compensation for 2023.</w:t>
      </w:r>
    </w:p>
    <w:p w14:paraId="7CE38926" w14:textId="77777777" w:rsidR="00A06DDA" w:rsidRDefault="00000000">
      <w:r>
        <w:t>See the Compensation Governance and Risk Management section of this proxy statement for a description of the performance assessment process.</w:t>
      </w:r>
    </w:p>
    <w:p w14:paraId="40116E9E" w14:textId="77777777" w:rsidR="00A06DDA" w:rsidRDefault="00000000">
      <w:r>
        <w:t>Annual incentive compensation is intended to reward NEOs for achievement of the Firms financial and strategic objectives over the prior year, and individual performance, including risk management, and is delivered in a mix of a cash bonus and deferred incentive compensation in the form of deferred equity.</w:t>
      </w:r>
    </w:p>
    <w:p w14:paraId="77CD67F4" w14:textId="77777777" w:rsidR="00A06DDA" w:rsidRDefault="00000000">
      <w:r>
        <w:t>The CMDS Committee believes that an absolute and relative ROTCE objective is aligned with Firm strategic objectives, given that ROTCE is a key Firm performance priority and that the significant proportion of executive compensation awarded in the form of equity awards appropriately aligns executives interests with those of shareholders and motivates executives to work to achieve strong shareholder returns.</w:t>
      </w:r>
    </w:p>
    <w:p w14:paraId="1E1A0390" w14:textId="77777777" w:rsidR="00A06DDA" w:rsidRDefault="00000000">
      <w:r>
        <w:t>The CMDS Committee granted the Staking Awards in acknowledgment of the Boards assessment of the criticality to the continued success of Morgan Stanley and progress of the Firms long-term strategy of ensuring that each executive continues their outstanding leadership in their new roles at the Firm.</w:t>
      </w:r>
    </w:p>
    <w:p w14:paraId="670771D1" w14:textId="77777777" w:rsidR="00A06DDA" w:rsidRDefault="00000000">
      <w:r>
        <w:lastRenderedPageBreak/>
        <w:t>The Staking Awards are designed to reinforce the executives accountability for the Firms future financial goals and directly tie compensation outcomes to shareholder-based value creation over a multi-year period in a balanced manner that does not encourage imprudent risk-taking.</w:t>
      </w:r>
    </w:p>
    <w:p w14:paraId="23A65C35" w14:textId="77777777" w:rsidR="00A06DDA" w:rsidRDefault="00000000">
      <w:r>
        <w:t>For 2023, the CMDS Committee retained an independent compensation consultant, Semler Brossy, to assist the CMDS Committee in collecting and evaluating external market data regarding executive compensation and performance and to advise the CMDS Committee on developing trends and best practices in executive compensation and equity and incentive plan design.</w:t>
      </w:r>
    </w:p>
    <w:p w14:paraId="402C2BB4" w14:textId="77777777" w:rsidR="00A06DDA" w:rsidRDefault="00000000">
      <w:r>
        <w:t>In addition, the Global Incentive Compensation Discretion Policy adopted by the CMDS Committee sets forth standards for managers on the use of discretion when making annual compensation decisions and considerations for assessing risk management and outcomes.</w:t>
      </w:r>
    </w:p>
    <w:p w14:paraId="7995790C" w14:textId="77777777" w:rsidR="00A06DDA" w:rsidRDefault="00000000">
      <w:r>
        <w:t>Further, the Firms control functions participate in a review of employee conduct with respect to risk management matters and are asked to identify inappropriate behavior that may not be captured through other Firm processes.</w:t>
      </w:r>
    </w:p>
    <w:p w14:paraId="7651A755" w14:textId="77777777" w:rsidR="00A06DDA" w:rsidRDefault="00000000">
      <w:r>
        <w:t>The Firm reviews compensation decisions for employees on an ongoing basis, including at the point of hire as well as during our annual compensation process, to help ensure that individual compensation decisions are in line with this philosophy.</w:t>
      </w:r>
    </w:p>
    <w:p w14:paraId="358D7053" w14:textId="77777777" w:rsidR="00A06DDA" w:rsidRDefault="00000000">
      <w:r>
        <w:t>A diverse workforce is key to our success, and consistent with that, we are committed to continually assessing our rewards structure and decisions to help ensure equity in pay for all employees.</w:t>
      </w:r>
    </w:p>
    <w:p w14:paraId="0E1AF127" w14:textId="77777777" w:rsidR="00A06DDA" w:rsidRDefault="00000000">
      <w:r>
        <w:t>Firm policy permits other employees to transact in covered calls and protective puts with respect to currently owned and saleable Morgan Stanley shares, subject to varying holding and window period requirements.</w:t>
      </w:r>
    </w:p>
    <w:p w14:paraId="3AA22635" w14:textId="77777777" w:rsidR="00A06DDA" w:rsidRDefault="00000000">
      <w:r>
        <w:t>Due to tax, administrative and other hurdles, it is not feasible to implement the Qualified ESPP for employees of certain non-U.</w:t>
      </w:r>
    </w:p>
    <w:p w14:paraId="79A08C34" w14:textId="77777777" w:rsidR="00A06DDA" w:rsidRDefault="00000000">
      <w:r>
        <w:t>As such, the adoption of the NQ ESPP will not increase the number of shares available for issuance in connection with our employee stock purchase programs and will not result in incremental dilution to shareholders.</w:t>
      </w:r>
    </w:p>
    <w:p w14:paraId="1F2F95A3" w14:textId="77777777" w:rsidR="00A06DDA" w:rsidRDefault="00000000">
      <w:r>
        <w:t>Ownership of shares of Firm common stock aligns the interests of employees and shareholders, and motivates employees to contribute to the achievement of Firm objectives.</w:t>
      </w:r>
    </w:p>
    <w:p w14:paraId="7F8C5385" w14:textId="77777777" w:rsidR="00A06DDA" w:rsidRDefault="00000000">
      <w:r>
        <w:t>Morgan Stanley is committed to educating and training our employees on non-discriminatory practices.</w:t>
      </w:r>
    </w:p>
    <w:p w14:paraId="456D1631" w14:textId="77777777" w:rsidR="00A06DDA" w:rsidRDefault="00000000">
      <w:r>
        <w:t>The success of our client engagement process is further highlighted by our commitment to educating and training our employees on non-discriminatory practices.</w:t>
      </w:r>
    </w:p>
    <w:p w14:paraId="04F93FD4" w14:textId="77777777" w:rsidR="00A06DDA" w:rsidRDefault="00000000">
      <w:r>
        <w:lastRenderedPageBreak/>
        <w:t>Description of managements and the Boards decision-making process and oversight for making payments described in sections 2 and 3 above.</w:t>
      </w:r>
    </w:p>
    <w:p w14:paraId="69125C50" w14:textId="77777777" w:rsidR="00A06DDA" w:rsidRDefault="00000000">
      <w:r>
        <w:t>For example, Morgan Stanley supports addressing climate change, yet the Business Roundtable opposed the Inflation Reduction Act and its historic investments in climate action,14 and BPI and FSF both lobbied the Securities and Exchange Commission to weaken proposed climate disclosure rules.</w:t>
      </w:r>
    </w:p>
    <w:p w14:paraId="006C6107" w14:textId="77777777" w:rsidR="00A06DDA" w:rsidRDefault="00000000">
      <w:r>
        <w:t>In 2023, Morgan Stanley reported compliance with this prohibition and included this report in our Policy Statement.</w:t>
      </w:r>
    </w:p>
    <w:p w14:paraId="58D2F59A" w14:textId="77777777" w:rsidR="00A06DDA" w:rsidRDefault="00000000">
      <w:r>
        <w:t>It also oversees and receives reports, at least annually, from Morgan Stanleys Government Relations Department on, Morgan Stanleys compliance with its Policy Statement prohibiting U.</w:t>
      </w:r>
    </w:p>
    <w:p w14:paraId="12C9FF17" w14:textId="0578013F" w:rsidR="00A06DDA" w:rsidRDefault="00000000">
      <w:r>
        <w:t>Corporate political contributions, political contribution activities of MSPAC,</w:t>
      </w:r>
      <w:r w:rsidR="007140F9">
        <w:t xml:space="preserve"> </w:t>
      </w:r>
      <w:r>
        <w:t>Morgan Stanleys significant lobbying priorities, and expenditures attributable to lobbying in the U</w:t>
      </w:r>
      <w:r w:rsidR="006B75DB">
        <w:t xml:space="preserve"> </w:t>
      </w:r>
      <w:r>
        <w:t>and, Morgan Stanleys membership in, and expenditures relating to, its principal U.</w:t>
      </w:r>
    </w:p>
    <w:p w14:paraId="6A4BDCD6" w14:textId="1303585F" w:rsidR="00A06DDA" w:rsidRDefault="00000000">
      <w:r>
        <w:t xml:space="preserve">The IEA tracks one,26 and they have been recognized by the leading bank climate alliances in which Company participates, including the Glasgow Financial Alliance for Net Zero and the Net Zero Banking Alliance, which advised that comparable indicators for reporting requirements could </w:t>
      </w:r>
      <w:r w:rsidR="003F1131">
        <w:t xml:space="preserve">include </w:t>
      </w:r>
      <w:r>
        <w:t>a transition finance ratio.</w:t>
      </w:r>
    </w:p>
    <w:p w14:paraId="7B63E284" w14:textId="77777777" w:rsidR="00A06DDA" w:rsidRDefault="00000000">
      <w:r>
        <w:t>Consult BloombergNEF Report when setting Ratio targets and defining low carbon and fossil fuel financing.</w:t>
      </w:r>
    </w:p>
    <w:p w14:paraId="41F5EDEB" w14:textId="77777777" w:rsidR="00A06DDA" w:rsidRDefault="00000000">
      <w:r>
        <w:t>Morgan Stanley has committed to achieving net-zero financed emissions by 2050 and has announced 2030 interim financed emissions targets.</w:t>
      </w:r>
    </w:p>
    <w:p w14:paraId="12B535E7" w14:textId="77777777" w:rsidR="00A06DDA" w:rsidRDefault="00000000">
      <w:r>
        <w:t>Our strategy is to leverage standardized approaches to climate reporting.</w:t>
      </w:r>
    </w:p>
    <w:p w14:paraId="4CE1971D" w14:textId="77777777" w:rsidR="00A06DDA" w:rsidRDefault="00000000">
      <w:r>
        <w:t>The supporting statement to the proposal recommends that Morgan Stanley work to establish standardized industry-wide methodologies and set timebound Ratio targets aligned with our net zero commitment.</w:t>
      </w:r>
    </w:p>
    <w:p w14:paraId="056F1638" w14:textId="77777777" w:rsidR="00A06DDA" w:rsidRDefault="00000000">
      <w:r>
        <w:t>We believe that it would be imprudent to disclose the Ratio for a number of reasons, including, Morgan Stanley takes seriously our responsibility to reduce greenhouse gas emissions, and we are committed to considering climate change throughout our business, operational and risk management activities.</w:t>
      </w:r>
    </w:p>
    <w:p w14:paraId="11B41E4A" w14:textId="77777777" w:rsidR="00A06DDA" w:rsidRDefault="00000000">
      <w:r>
        <w:t>In 2021, we announced our 2030 interim financed emissions targets for the auto manufacturing, energy and power sectors, the most emissions-intensive sectors that we identified in our corporate lending portfolio.</w:t>
      </w:r>
    </w:p>
    <w:p w14:paraId="45FABC59" w14:textId="77777777" w:rsidR="00A06DDA" w:rsidRDefault="00000000">
      <w:r>
        <w:lastRenderedPageBreak/>
        <w:t>We believe that the proposals request to disclose the Ratio could draw attention away from our focus on emissions-based targets, that draw on industry standards, to a clean energy financing Ratio instead.</w:t>
      </w:r>
    </w:p>
    <w:p w14:paraId="3F187667" w14:textId="77777777" w:rsidR="00A06DDA" w:rsidRDefault="00000000">
      <w:r>
        <w:t>It is also possible that we are later asked by other stakeholders to have targets tied to the Ratio if we disclose it.</w:t>
      </w:r>
    </w:p>
    <w:p w14:paraId="28831F9E" w14:textId="77777777" w:rsidR="00A06DDA" w:rsidRDefault="00000000">
      <w:r>
        <w:t>We believe our existing targets and metrics properly incentivize Morgan Stanley to proactively work with our clients on climate transition opportunities, which we think is the most appropriate strategy for Morgan Stanley, our clients, and our shareholders, as well as for addressing real-economy greenhouse emissions.</w:t>
      </w:r>
    </w:p>
    <w:p w14:paraId="4960ADD7" w14:textId="77777777" w:rsidR="00A06DDA" w:rsidRDefault="00000000">
      <w:r>
        <w:t>Morgan Stanleys financed emissions reduction approach allows us the flexibility to help finance this transition, which is important to optimize and meet energy demands in ways that are in the best interests of our clients and shareholders, and to take into account changing geopolitical realities that will likely impact future oil and gas demand and timing of related fossil fuel production.</w:t>
      </w:r>
    </w:p>
    <w:p w14:paraId="1CF9E8D9" w14:textId="77777777" w:rsidR="00A06DDA" w:rsidRDefault="00000000">
      <w:r>
        <w:t>It is possible that disclosure of the Ratio would lead to an interest in reducing emissions or related funding levels for fossil fuel companies by withdrawing capital from carbon-intensive sectors.</w:t>
      </w:r>
    </w:p>
    <w:p w14:paraId="3A669B35" w14:textId="77777777" w:rsidR="00A06DDA" w:rsidRDefault="00000000">
      <w:r>
        <w:t>Because of the many potential drivers impacting this Ratio, the Ratio may show progress that is inapposite to progress we may be making on our existing 2030 financed emissions targets.</w:t>
      </w:r>
    </w:p>
    <w:p w14:paraId="0D5D19F2" w14:textId="77777777" w:rsidR="00A06DDA" w:rsidRDefault="00000000">
      <w:r>
        <w:t>Fossil-fuel clients that seek financial solutions to implement these changes present opportunities for partnership with us in multiple alternative ways that support the transition to a low-carbon economy, to the benefit of Morgan Stanley and our shareholders, as well as the climate.</w:t>
      </w:r>
    </w:p>
    <w:p w14:paraId="47B91CA6" w14:textId="77777777" w:rsidR="00A06DDA" w:rsidRDefault="00000000">
      <w:r>
        <w:t>Given that we already disclose financed emissions data related to our interim targets and will include enhanced disclosures in our 2023 ESG Report, we do not believe that developing and calculating the proposed Ratio would be in the best interests of our clients or our shareholders.</w:t>
      </w:r>
    </w:p>
    <w:p w14:paraId="238CEDF0" w14:textId="77777777" w:rsidR="00A06DDA" w:rsidRDefault="00000000">
      <w:r>
        <w:t>For the foregoing reasons, the Board believes that the disclosure of the Ratio could ultimately end up affecting managements discretion in developing and managing our strategy to align our business with net-zero by 2050, to the detriment of our clients, shareholders and real-economy emissions reductions.</w:t>
      </w:r>
    </w:p>
    <w:p w14:paraId="7090DDA9" w14:textId="77777777" w:rsidR="00A06DDA" w:rsidRDefault="00000000">
      <w:r>
        <w:t>In furtherance of Morgan Stanleys commitment to reduce our carbon footprint and facilitate shareholder participation regardless of physical location, we will hold our annual meeting virtually this year at Your vote is important.</w:t>
      </w:r>
    </w:p>
    <w:p w14:paraId="0094958F" w14:textId="77777777" w:rsidR="00A06DDA" w:rsidRDefault="00000000">
      <w:r>
        <w:lastRenderedPageBreak/>
        <w:t>Our bylaws provide that your vote is confidential and will not be disclosed to any officer, director or employee, except in certain limited circumstances such as when you request or consent to disclosure.</w:t>
      </w:r>
    </w:p>
    <w:p w14:paraId="5F3A377C" w14:textId="77777777" w:rsidR="00A06DDA" w:rsidRDefault="00000000">
      <w:r>
        <w:t>This process allows us to expedite our shareholders receipt of proxy materials, lower the costs of distribution and reduce the environmental impact of our annual meeting.</w:t>
      </w:r>
    </w:p>
    <w:p w14:paraId="576F7427" w14:textId="77A5B064" w:rsidR="00A06DDA" w:rsidRDefault="00000000">
      <w:r>
        <w:t xml:space="preserve">As described under Corporate Governance </w:t>
      </w:r>
      <w:r w:rsidR="00791C32">
        <w:t>Matters Corporate</w:t>
      </w:r>
      <w:r>
        <w:t xml:space="preserve"> Governance </w:t>
      </w:r>
      <w:r w:rsidR="00791C32">
        <w:t>Practices Shareholder</w:t>
      </w:r>
      <w:r>
        <w:t xml:space="preserve"> Rights and Accountability, we have adopted proxy access.</w:t>
      </w:r>
    </w:p>
    <w:p w14:paraId="69C7D4E1" w14:textId="77777777" w:rsidR="00A06DDA" w:rsidRDefault="00000000">
      <w:r>
        <w:t>Non-GAAP financial measures disclosed by the Firm are provided as additional information to analysts, investors and other stakeholders in order to provide them with greater transparency about, or an alternative method for assessing, our financial condition, operating results, or prospective regulatory capital requirements.</w:t>
      </w:r>
    </w:p>
    <w:sectPr w:rsidR="00A06D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523637844">
    <w:abstractNumId w:val="8"/>
  </w:num>
  <w:num w:numId="2" w16cid:durableId="1176110584">
    <w:abstractNumId w:val="6"/>
  </w:num>
  <w:num w:numId="3" w16cid:durableId="1877960235">
    <w:abstractNumId w:val="5"/>
  </w:num>
  <w:num w:numId="4" w16cid:durableId="956252122">
    <w:abstractNumId w:val="4"/>
  </w:num>
  <w:num w:numId="5" w16cid:durableId="1853832117">
    <w:abstractNumId w:val="7"/>
  </w:num>
  <w:num w:numId="6" w16cid:durableId="1861046487">
    <w:abstractNumId w:val="3"/>
  </w:num>
  <w:num w:numId="7" w16cid:durableId="1380934432">
    <w:abstractNumId w:val="2"/>
  </w:num>
  <w:num w:numId="8" w16cid:durableId="1196192935">
    <w:abstractNumId w:val="1"/>
  </w:num>
  <w:num w:numId="9" w16cid:durableId="49381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583"/>
    <w:rsid w:val="003F1131"/>
    <w:rsid w:val="004807A8"/>
    <w:rsid w:val="006B75DB"/>
    <w:rsid w:val="006D105B"/>
    <w:rsid w:val="007140F9"/>
    <w:rsid w:val="00791C32"/>
    <w:rsid w:val="00A06DDA"/>
    <w:rsid w:val="00A3782C"/>
    <w:rsid w:val="00AA1D8D"/>
    <w:rsid w:val="00B47730"/>
    <w:rsid w:val="00CA3A76"/>
    <w:rsid w:val="00CB0664"/>
    <w:rsid w:val="00D45721"/>
    <w:rsid w:val="00D85E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835CB"/>
  <w14:defaultImageDpi w14:val="300"/>
  <w15:docId w15:val="{83F9B840-C550-EB4C-8E85-90E104B6F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3582</Words>
  <Characters>20421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11</cp:revision>
  <dcterms:created xsi:type="dcterms:W3CDTF">2013-12-23T23:15:00Z</dcterms:created>
  <dcterms:modified xsi:type="dcterms:W3CDTF">2025-08-01T09:35:00Z</dcterms:modified>
  <cp:category/>
</cp:coreProperties>
</file>