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7812E" w14:textId="5E2360E3" w:rsidR="000C5F3C" w:rsidRDefault="00000000">
      <w:r>
        <w:t>Pillar 3 Regulatory Disclosure, Overview and Key Metrics Page 8 Counterparty Credit Risk CCR RWAs as well as increased regulatory own funds deductions, partially offset by an increase in own funds due to profit recognition €281MM.</w:t>
      </w:r>
    </w:p>
    <w:p w14:paraId="17B37D22" w14:textId="77777777" w:rsidR="000C5F3C" w:rsidRDefault="00000000">
      <w:r>
        <w:t>Investors, stakeholders, creditors or other users seeking information on financial reporting and capital adequacy, liquidity, risk exposure and risk management policies should consult the public disclosures of Morgan Stanley Group.</w:t>
      </w:r>
    </w:p>
    <w:p w14:paraId="5BD43666" w14:textId="77777777" w:rsidR="000C5F3C" w:rsidRDefault="00000000">
      <w:r>
        <w:t>While interest rates declined in the latter half of 2024, elevated inflation, geopolitical risks, uncertainties surrounding government and policy developments in the markets the MSEHSE Group operates in, and the timing and pace of further interest rate actions present ongoing risks to the economic environment.</w:t>
      </w:r>
    </w:p>
    <w:p w14:paraId="7737D7F8" w14:textId="77777777" w:rsidR="000C5F3C" w:rsidRDefault="00000000">
      <w:r>
        <w:t>Additional disclosure requirements are implemented by the EBA via Regulatory Technical Standards RTS and Implementing Technical Standards ITS.</w:t>
      </w:r>
    </w:p>
    <w:p w14:paraId="34653B08" w14:textId="77777777" w:rsidR="000C5F3C" w:rsidRDefault="00000000">
      <w:r>
        <w:t>The finalised rules also include an increased focus on Environmental, Social and Governance ESG risks.</w:t>
      </w:r>
    </w:p>
    <w:p w14:paraId="2A967800" w14:textId="0E48D35D" w:rsidR="000C5F3C" w:rsidRDefault="00000000">
      <w:r>
        <w:t>Pillar 3 Regulatory Disclosure, Regulatory Frameworks Page 11 Internal Minimum Requirement for Own Funds and Eligible Liabilities MREL MSEHSE Group is subject to internal MREL requirements as set by the Single Resolution Board and BaFin.</w:t>
      </w:r>
    </w:p>
    <w:p w14:paraId="69866686" w14:textId="77777777" w:rsidR="000C5F3C" w:rsidRDefault="00000000">
      <w:r>
        <w:t>The MSEHSE Group's Global Financial Crimes Department is responsible for the Financial Crimes Risk Management Framework covering money laundering as well as fraud and other relevant criminal offences.</w:t>
      </w:r>
    </w:p>
    <w:p w14:paraId="64180A4E" w14:textId="77777777" w:rsidR="000C5F3C" w:rsidRDefault="00000000">
      <w:r>
        <w:t>It is responsible for ensuring the proper execution of outsourcing frameworks and guidelines, working closely with divisional management persons accountable for supervising any outsourcings by their division to ensure outsourcing regulatory requirements are maintained on a continuous basis.</w:t>
      </w:r>
    </w:p>
    <w:p w14:paraId="09503432" w14:textId="77777777" w:rsidR="000C5F3C" w:rsidRDefault="00000000">
      <w:r>
        <w:t>The MSEHSE Group has implemented specific risk management policies to address local business and regulatory requirements, where appropriate.</w:t>
      </w:r>
    </w:p>
    <w:p w14:paraId="64EF1E2E" w14:textId="277CDF06" w:rsidR="000C5F3C" w:rsidRDefault="00000000">
      <w:r>
        <w:t>The MSEHSE Group Compliance Department is responsible for</w:t>
      </w:r>
      <w:r w:rsidR="00711DD0">
        <w:t xml:space="preserve"> p</w:t>
      </w:r>
      <w:r>
        <w:t>romoting a strong culture of compliance.</w:t>
      </w:r>
    </w:p>
    <w:p w14:paraId="4465B782" w14:textId="77777777" w:rsidR="000C5F3C" w:rsidRDefault="00000000">
      <w:r>
        <w:t>Defining an operating model and setting standards for Compliance Risk Management.</w:t>
      </w:r>
    </w:p>
    <w:p w14:paraId="0D3DC62E" w14:textId="77777777" w:rsidR="000C5F3C" w:rsidRDefault="00000000">
      <w:r>
        <w:t>Maintaining a risk-based programme for monitoring, testing and challenge of Compliance Risk Management by the first line of defence across the MSEHSE Group.</w:t>
      </w:r>
    </w:p>
    <w:p w14:paraId="15E87EEC" w14:textId="77777777" w:rsidR="000C5F3C" w:rsidRDefault="00000000">
      <w:r>
        <w:t>Reviewing new products and business initiatives to assess Compliance Risks as part of the New Product Approval process.</w:t>
      </w:r>
    </w:p>
    <w:p w14:paraId="1359DDA8" w14:textId="79BA064F" w:rsidR="000C5F3C" w:rsidRDefault="00000000">
      <w:r>
        <w:t xml:space="preserve">Pillar 3 Regulatory Disclosure, Risk Management Page 14 Risk Identification, Risk Appetite and Risk Limits/Tolerances Risk Identification </w:t>
      </w:r>
      <w:r w:rsidR="00711DD0">
        <w:t>the</w:t>
      </w:r>
      <w:r>
        <w:t xml:space="preserve"> MSEHSE Group has established a </w:t>
      </w:r>
      <w:r>
        <w:lastRenderedPageBreak/>
        <w:t>framework to identify and assess material risks and risk factors stemming from MSEHSE Groups business activities.</w:t>
      </w:r>
    </w:p>
    <w:p w14:paraId="7999392A" w14:textId="77777777" w:rsidR="000C5F3C" w:rsidRDefault="00000000">
      <w:r>
        <w:t>In addition, other risk management processes such as regular risk reviews, horizon scanning, and ad-hoc stress tests are conducted to assess the impacts of potential market events, regulations and to identify potential business model vulnerabilities, thereby supporting the continuous process of risk identification.</w:t>
      </w:r>
    </w:p>
    <w:p w14:paraId="0632F6E0" w14:textId="77777777" w:rsidR="000C5F3C" w:rsidRDefault="00000000">
      <w:r>
        <w:t>The following risk types involved in MSEHSE Groups business activities are currently considered material as determined through the Risk Identification Framework, Financial Risks Market Risk Credit Risk Model Risk Valuation Risk Leverage Risk Liquidity Risk Non-Financial Risks Operational Risk Compliance Risk including Conduct Financial Crimes Risk Other Material Risks Strategic Risk including Earnings at Risk Reputational Risk ESG risks are a driver of existing risks and are managed within the MSEHSE Group's existing Risk Appetite.</w:t>
      </w:r>
    </w:p>
    <w:p w14:paraId="5E0EF563" w14:textId="77777777" w:rsidR="000C5F3C" w:rsidRDefault="00000000">
      <w:r>
        <w:t>The MSEHSE Group Management Boards have established frameworks to identify, measure, monitor, report, challenge and escalate these risks.</w:t>
      </w:r>
    </w:p>
    <w:p w14:paraId="7EE8BDD6" w14:textId="77777777" w:rsidR="000C5F3C" w:rsidRDefault="00000000">
      <w:r>
        <w:t>Compliance Risk is defined as the risk of legal or regulatory sanctions, material financial loss or damage to reputation resulting from the failure to comply with laws, rules, regulations, related self-regulatory organisation standards and codes of conduct applicable to MSEHSE Groups activities.</w:t>
      </w:r>
    </w:p>
    <w:p w14:paraId="41C7CA01" w14:textId="4EEDC964" w:rsidR="000C5F3C" w:rsidRDefault="00000000">
      <w:r>
        <w:t>Pillar 3 Regulatory Disclosure, Risk Management Page 15 Financial Crimes Risk refers to the risk of regulatory sanctions and reputation damage posed to the MSEHSE Group in the event of failure to comply with applicable anti-money laundering, terrorist financing, economic sanctions, anti-tax evasion, anti-bribery and corruption, or other criminal offences laws and regulations.</w:t>
      </w:r>
    </w:p>
    <w:p w14:paraId="289D6D98" w14:textId="77777777" w:rsidR="000C5F3C" w:rsidRDefault="00000000">
      <w:r>
        <w:t>The potential impact of climate-related risks on Credit and Market Risk is assessed through a specific transition risk/carbon repricing scenario and managed via the Climate Stress Loss Limit CSLL.</w:t>
      </w:r>
    </w:p>
    <w:p w14:paraId="3A8222E8" w14:textId="1353EC1B" w:rsidR="000C5F3C" w:rsidRDefault="00000000">
      <w:r>
        <w:t>Pillar 3 Regulatory Disclosure, Risk Management Page 16 outlines the MSEHSE Group and MSESE Consol Limit Framework for specific risk areas.</w:t>
      </w:r>
    </w:p>
    <w:p w14:paraId="2D81EB16" w14:textId="15957511" w:rsidR="000C5F3C" w:rsidRDefault="00000000">
      <w:r>
        <w:t>Pillar 3 Regulatory Disclosure, Risk Management Page 17 3 The MSEHSE, MSESE and MSBAG Supervisory Boards are collectively referred to as the MSEHSE Group Supervisory Boards.</w:t>
      </w:r>
    </w:p>
    <w:p w14:paraId="6C24656F" w14:textId="77777777" w:rsidR="000C5F3C" w:rsidRDefault="00000000">
      <w:r>
        <w:t>At the MSEHSE Group level, any material data limitations/issues on risk data goes through governance and is escalated to the ERCs and the MSEHSE Group Management Boards, if necessary.</w:t>
      </w:r>
    </w:p>
    <w:p w14:paraId="4B54473D" w14:textId="77777777" w:rsidR="000C5F3C" w:rsidRDefault="00000000">
      <w:r>
        <w:t>The MSEHSE Group Supervisory Boards are responsible for the overall supervision and oversight of the MSEHSE Group Management Boards.</w:t>
      </w:r>
    </w:p>
    <w:p w14:paraId="7B3DC8FF" w14:textId="77777777" w:rsidR="000C5F3C" w:rsidRDefault="00000000">
      <w:r>
        <w:lastRenderedPageBreak/>
        <w:t>The MSEHSE Group Remuneration Committees RemCo have been established to assist the MSEHSE Group Supervisory Boards in, Overseeing the design and implementation of the remuneration systems, policies, and practices applicable to MSEHSE Group.</w:t>
      </w:r>
    </w:p>
    <w:p w14:paraId="0C54D6AD" w14:textId="77777777" w:rsidR="000C5F3C" w:rsidRDefault="00000000">
      <w:r>
        <w:t>The MSEHSE Group Nomination Committees have been established to assist and provide guidance to the MSEHSE Group Supervisory Boards in relation to, The selection of members of the MSEHSE Group Management Boards and the preparation of proposals for the election of members of the MSEHSE Group Supervisory Boards.</w:t>
      </w:r>
    </w:p>
    <w:p w14:paraId="2DBC5DE0" w14:textId="77777777" w:rsidR="000C5F3C" w:rsidRDefault="00000000">
      <w:r>
        <w:t>The effectiveness of the framework is reviewed at least annually and, where appropriate, elements are updated to reflect best practice, evolving market conditions, lessons learned following market-wide or idiosyncratic risk events, and in response to changing regulatory expectations and requirements and any significant audit issues.</w:t>
      </w:r>
    </w:p>
    <w:p w14:paraId="2E6A289A" w14:textId="77777777" w:rsidR="000C5F3C" w:rsidRDefault="00000000">
      <w:r>
        <w:t>MSEHSE Group Risk Situation The MSEHSE Groups Risk Strategy and Risk Appetite are aligned with the MSEHSE Groups business strategy as well as capital and liquidity resources and are embedded into risk management processes.</w:t>
      </w:r>
    </w:p>
    <w:p w14:paraId="39A467B3" w14:textId="77777777" w:rsidR="000C5F3C" w:rsidRDefault="00000000">
      <w:r>
        <w:t>The total carrying values under the regulatory scope of consolidation do not equal the sum of the amounts shown in the remaining columns of this table as some of the assets included in these items are subject to regulatory capital charges in more than just one risk framework.</w:t>
      </w:r>
    </w:p>
    <w:p w14:paraId="732B0A00" w14:textId="21B8DBED" w:rsidR="000C5F3C" w:rsidRDefault="00000000">
      <w:r>
        <w:t>Pillar 3 Regulatory Disclosure, Basis of Preparation and Linkage to Financial Accounts Page 23 Below table shows the MSEHSE Group consolidated regulatory balance sheet per EU LI1 reconciled to the Exposures at Default EAD for items subject to the Credit Risk, CCR and Securitisation frameworks.</w:t>
      </w:r>
    </w:p>
    <w:p w14:paraId="552BA93F" w14:textId="77777777" w:rsidR="000C5F3C" w:rsidRDefault="00000000">
      <w:r>
        <w:t>The total carrying values under the regulatory scope of consolidation do not equal the sum of the amounts shown in the remaining columns of this table as some of the assets included in these items are subject to regulatory capital charges in more than just one risk framework.</w:t>
      </w:r>
    </w:p>
    <w:p w14:paraId="6A120C1D" w14:textId="0F2FBCF8" w:rsidR="000C5F3C" w:rsidRDefault="00000000">
      <w:r>
        <w:t>They manage and monitor their capital in line with established policies and procedures and in compliance with regulatory requirements.</w:t>
      </w:r>
    </w:p>
    <w:p w14:paraId="51679797" w14:textId="77777777" w:rsidR="000C5F3C" w:rsidRDefault="00000000">
      <w:r>
        <w:t>Internal capital ratio minima are set by the MSEHSE Group Management Boards to ensure the MSEHSE Group and MSESE Consol both have sufficient capital to meet their regulatory and internal requirements at all times.</w:t>
      </w:r>
    </w:p>
    <w:p w14:paraId="0E2F5AA5" w14:textId="77777777" w:rsidR="000C5F3C" w:rsidRDefault="00000000">
      <w:r>
        <w:t>Over the year, MSEHSE Group's TLAC available increased due to a Senior Subordinated Facility SSF issuance of €300MM and profit recognition of €272MM, partially offset by an increase in regulatory own funds deductions.</w:t>
      </w:r>
    </w:p>
    <w:p w14:paraId="49B516CD" w14:textId="77777777" w:rsidR="000C5F3C" w:rsidRDefault="00000000">
      <w:r>
        <w:t xml:space="preserve">Over the fourth quarter of 2024, MSEHSE Groups own funds and eligible liabilities as a percentage of Total Risk Exposure Amount TREA increased due to profit recognition of </w:t>
      </w:r>
      <w:r>
        <w:lastRenderedPageBreak/>
        <w:t>€272MM, partially offset by an increase in regulatory own funds deductions and an AT1 coupon payment.</w:t>
      </w:r>
    </w:p>
    <w:p w14:paraId="43388C6A" w14:textId="77777777" w:rsidR="000C5F3C" w:rsidRDefault="00000000">
      <w:r>
        <w:t>The MSEHSE Groups and MSESEs ALCO are the primary governance committees responsible for monitoring leverage ratios and for ensuring that they remain within the risk appetite approved by the MSEHSE Group Management Boards.</w:t>
      </w:r>
    </w:p>
    <w:p w14:paraId="352B695F" w14:textId="61FD8BEB" w:rsidR="000C5F3C" w:rsidRDefault="00000000">
      <w:r>
        <w:t>EWI levels are monitored weekly to ensure that any increases above the internal thresholds are escalated to governance forums to allow for any appropriate management actions to be taken, T1 capital increases and/or leverage exposure reductions, on a timely manner.</w:t>
      </w:r>
    </w:p>
    <w:p w14:paraId="5D7642B1" w14:textId="77777777" w:rsidR="000C5F3C" w:rsidRDefault="00000000">
      <w:r>
        <w:t>In addition to reporting of leverage ratio exposure, a quarterly risk identification assessment is in place to monitor leverage exposure drivers, risks and quantify contingent leverage exposures to ensure compliance with internal and regulatory minimums in the event they were to crystallise.</w:t>
      </w:r>
    </w:p>
    <w:p w14:paraId="1CE970B2" w14:textId="77777777" w:rsidR="000C5F3C" w:rsidRDefault="00000000">
      <w:r>
        <w:t>Output from this process is shared with the aforementioned governance forums quarterly who are responsible for monitoring the leverage ratio.</w:t>
      </w:r>
    </w:p>
    <w:p w14:paraId="429521D3" w14:textId="77777777" w:rsidR="000C5F3C" w:rsidRDefault="00000000">
      <w:r>
        <w:t>Credit and CCR capital requirements are derived from RWAs, determined using the regulatory approved internal modelling approach the Internal Model Method IMM for CCR exposure.</w:t>
      </w:r>
    </w:p>
    <w:p w14:paraId="6E3F683A" w14:textId="77777777" w:rsidR="000C5F3C" w:rsidRDefault="00000000">
      <w:r>
        <w:t>Regulatory approved Foundation Internal Ratings Based approach F-IRB for credit risk or SA Risk Weights are applied as applicable.</w:t>
      </w:r>
    </w:p>
    <w:p w14:paraId="118E6B57" w14:textId="77777777" w:rsidR="000C5F3C" w:rsidRDefault="00000000">
      <w:r>
        <w:t>The market risk capital requirements comprise capital associated with the regulatory approved Internal Model Approach IMA and the SA, consistent with its regulatory approvals.</w:t>
      </w:r>
    </w:p>
    <w:p w14:paraId="1FB89C3C" w14:textId="77777777" w:rsidR="000C5F3C" w:rsidRDefault="00000000">
      <w:r>
        <w:t>The MSEHSE Group and MSESE Consol enhance their risk management strategies by incorporating improvements in modelling techniques whilst maintaining compliance with regulatory requirements.</w:t>
      </w:r>
    </w:p>
    <w:p w14:paraId="084E630C" w14:textId="77777777" w:rsidR="000C5F3C" w:rsidRDefault="00000000">
      <w:r>
        <w:t>The MSEHSE Group CRMD is responsible for managing and overseeing the credit risk profile of the MSEHSE Group, including the design and oversight of the credit risk and limits framework covering the independent identification, analysis, monitoring, reporting and escalation of credit risks.</w:t>
      </w:r>
    </w:p>
    <w:p w14:paraId="423A6E25" w14:textId="77777777" w:rsidR="000C5F3C" w:rsidRDefault="00000000">
      <w:r>
        <w:t>Credit Risk Policies and Procedures CRMD policies and procedures applicable to the MSEHSE Group and/or MSESE Consol aim to ensure the identification of credit risks, compliance with established limits, requisite approvals for extensions of credit, and escalation of risk concentrations to appropriate senior management.</w:t>
      </w:r>
    </w:p>
    <w:p w14:paraId="56A0506A" w14:textId="77777777" w:rsidR="000C5F3C" w:rsidRDefault="00000000">
      <w:r>
        <w:t>The MSEHSE Group Management Boards approve limits that reflect the credit risk appetite of MSESE Consol and serve as a basis from which more detailed limits are established.</w:t>
      </w:r>
    </w:p>
    <w:p w14:paraId="5F39DD94" w14:textId="77777777" w:rsidR="000C5F3C" w:rsidRDefault="00000000">
      <w:r>
        <w:lastRenderedPageBreak/>
        <w:t>RWAs are determined using the regulatory approved F-IRB approach which reflects the MSEHSE Groups internal estimate of a borrower's or counterpartys creditworthiness.</w:t>
      </w:r>
    </w:p>
    <w:p w14:paraId="49F66642" w14:textId="77777777" w:rsidR="000C5F3C" w:rsidRDefault="00000000">
      <w:r>
        <w:t>This is consistent with the scope of MSEHSE Groups regulatory approved F-IRB approach.</w:t>
      </w:r>
    </w:p>
    <w:p w14:paraId="0CBDD69C" w14:textId="77777777" w:rsidR="000C5F3C" w:rsidRDefault="00000000">
      <w:r>
        <w:t>These include but are not limited to obligors financial statements, market position, strategy, management, legal and environmental, industry dynamics and relevant other financial data.</w:t>
      </w:r>
    </w:p>
    <w:p w14:paraId="69DECFF9" w14:textId="77777777" w:rsidR="000C5F3C" w:rsidRDefault="00000000">
      <w:r>
        <w:t>The regulatory environment and implicit government support is incorporated where applicable and permitted.</w:t>
      </w:r>
    </w:p>
    <w:p w14:paraId="23DD713B" w14:textId="01D6AB33" w:rsidR="000C5F3C" w:rsidRDefault="00000000">
      <w:r>
        <w:t>Pillar 3 Regulatory Disclosure, Credit Risk Page 41 Implicit government support may be incorporated where applicable and permitted.</w:t>
      </w:r>
    </w:p>
    <w:p w14:paraId="014D9BE2" w14:textId="77777777" w:rsidR="000C5F3C" w:rsidRDefault="00000000">
      <w:r>
        <w:t>The validation process includes the following activities, assessment of the models conceptual soundness, evaluation of the model specialist document, assessment of DQ and developmental tests, attestation of the models sensitivity to key inputs and assumptions, the model performance, benchmarking to alternative models and diagnostic testing.</w:t>
      </w:r>
    </w:p>
    <w:p w14:paraId="1961F077" w14:textId="77777777" w:rsidR="000C5F3C" w:rsidRDefault="00000000">
      <w:r>
        <w:t>IAD serves as the third line of defence with regard to the internal rating model development process and practices, through independent review it performs periodically.</w:t>
      </w:r>
    </w:p>
    <w:p w14:paraId="5D52C405" w14:textId="77777777" w:rsidR="000C5F3C" w:rsidRDefault="00000000">
      <w:r>
        <w:t>On a quarterly basis a Model Risk Update is provided to relevant governance forums including the MSEHSE Group Management Boards which contains a model health assessment of the IRB models across rating templates and PD Calibration.</w:t>
      </w:r>
    </w:p>
    <w:p w14:paraId="4B36E166" w14:textId="237280AC" w:rsidR="000C5F3C" w:rsidRDefault="00000000">
      <w:r>
        <w:t>Pillar 3 Regulatory Disclosure, Credit Risk Page 42 Below table shows the MSEHSE Groups and MSESE Consol's equity exposures using the simple risk-weighted approach.</w:t>
      </w:r>
    </w:p>
    <w:p w14:paraId="1371E5AB" w14:textId="77777777" w:rsidR="000C5F3C" w:rsidRDefault="00000000">
      <w:r>
        <w:t>The MSEHSE Group Market Risk Department MRD is responsible for ensuring transparency of market risk exposures, monitors compliance with established limits, and escalates risk concentrations to appropriate senior management.</w:t>
      </w:r>
    </w:p>
    <w:p w14:paraId="13847BE8" w14:textId="77777777" w:rsidR="000C5F3C" w:rsidRDefault="00000000">
      <w:r>
        <w:t>MRD monitors market risk measures against limits in accordance with policies set by the MSEHSE Group Management Boards.</w:t>
      </w:r>
    </w:p>
    <w:p w14:paraId="5C924241" w14:textId="77777777" w:rsidR="000C5F3C" w:rsidRDefault="00000000">
      <w:r>
        <w:t>The MSEHSE Group and MSESE Consol have been granted regulatory permission to use the Internal Model Approach IMA to calculate own funds requirements for market risk.</w:t>
      </w:r>
    </w:p>
    <w:p w14:paraId="7204A2AF" w14:textId="77777777" w:rsidR="000C5F3C" w:rsidRDefault="00000000">
      <w:r>
        <w:t>The MSEHSE Group manages and monitors its market risk exposures, including outright and basis risks, in such a way as to maintain a portfolio that the MSEHSE Group believes is well-diversified in aggregate with respect to market risk factors, and that reflects the MSEHSE Groups aggregate risk appetite as established by the MSEHSE Group Management Boards.</w:t>
      </w:r>
    </w:p>
    <w:p w14:paraId="36E20312" w14:textId="77777777" w:rsidR="000C5F3C" w:rsidRDefault="00000000">
      <w:r>
        <w:t>The policy outlines criteria for identifying and classifying Trading Book positions for the purpose of regulatory capital and market risk measurement and sets out associated roles and responsibilities across the business unit, finance, and other stakeholder groups.</w:t>
      </w:r>
    </w:p>
    <w:p w14:paraId="179C87CF" w14:textId="7ABF025A" w:rsidR="000C5F3C" w:rsidRDefault="00000000">
      <w:r>
        <w:lastRenderedPageBreak/>
        <w:t>Pillar 3 Regulatory Disclosure, Market Risk Page 52 A set of internal processes and controls ensure that all relevant trading positions booked by the MSEHSE Group are included in VaR.</w:t>
      </w:r>
    </w:p>
    <w:p w14:paraId="6B12C180" w14:textId="77777777" w:rsidR="000C5F3C" w:rsidRDefault="00000000">
      <w:r>
        <w:t>The MSEHSE Group is aware of these and other limitations and therefore uses VaR as only one component in its risk management oversight process.</w:t>
      </w:r>
    </w:p>
    <w:p w14:paraId="49963945" w14:textId="0CCA2C90" w:rsidR="000C5F3C" w:rsidRDefault="00000000">
      <w:r>
        <w:t xml:space="preserve">Pillar 3 Regulatory Disclosure, Market Risk Page 55 </w:t>
      </w:r>
      <w:proofErr w:type="spellStart"/>
      <w:r>
        <w:t>Standardised</w:t>
      </w:r>
      <w:proofErr w:type="spellEnd"/>
      <w:r>
        <w:t xml:space="preserve"> Approach Below table shows the market risk RWAs for the MSEHSE Group as </w:t>
      </w:r>
      <w:proofErr w:type="gramStart"/>
      <w:r>
        <w:t>at</w:t>
      </w:r>
      <w:proofErr w:type="gramEnd"/>
      <w:r>
        <w:t xml:space="preserve"> 31 December 2024, calculated in accordance with the SA and categorised by component type.</w:t>
      </w:r>
    </w:p>
    <w:p w14:paraId="231FE9F4" w14:textId="77777777" w:rsidR="000C5F3C" w:rsidRDefault="00000000">
      <w:r>
        <w:t>This framework includes escalation to the MSEHSE Group Management Boards.</w:t>
      </w:r>
    </w:p>
    <w:p w14:paraId="1A5EFFF9" w14:textId="77777777" w:rsidR="000C5F3C" w:rsidRDefault="00000000">
      <w:r>
        <w:t>The framework is continually evolving to reflect changes in the MSEHSE Group and to respond to the changing regulatory and business environment.</w:t>
      </w:r>
    </w:p>
    <w:p w14:paraId="498EAE20" w14:textId="77777777" w:rsidR="000C5F3C" w:rsidRDefault="00000000">
      <w:r>
        <w:t>These include a governance framework, a comprehensive risk management programme and insurance.</w:t>
      </w:r>
    </w:p>
    <w:p w14:paraId="01BAE416" w14:textId="77777777" w:rsidR="000C5F3C" w:rsidRDefault="00000000">
      <w:r>
        <w:t>Final proposals of PNFR are presented to the governance committees to review, challenge and ultimately to recommend for adoption by the MSEHSE Group Management Boards.</w:t>
      </w:r>
    </w:p>
    <w:p w14:paraId="79CCC707" w14:textId="59E86025" w:rsidR="000C5F3C" w:rsidRDefault="00000000">
      <w:r>
        <w:t xml:space="preserve">Pillar 3 Regulatory Disclosure, Operational Risk Page 60 </w:t>
      </w:r>
      <w:r w:rsidR="001C11BF">
        <w:t>a</w:t>
      </w:r>
      <w:r>
        <w:t xml:space="preserve">s </w:t>
      </w:r>
      <w:proofErr w:type="gramStart"/>
      <w:r>
        <w:t>at</w:t>
      </w:r>
      <w:proofErr w:type="gramEnd"/>
      <w:r>
        <w:t xml:space="preserve"> 31 December 2024, the MSEHSE Group Management Boards approved PNFR are as the following, Conduct pathway.</w:t>
      </w:r>
    </w:p>
    <w:p w14:paraId="3FFC49BD" w14:textId="77777777" w:rsidR="000C5F3C" w:rsidRDefault="00000000">
      <w:r>
        <w:t>Examples of such activities include the continuous development of defences against cyber-attacks.</w:t>
      </w:r>
    </w:p>
    <w:p w14:paraId="4CA59B2C" w14:textId="77777777" w:rsidR="000C5F3C" w:rsidRDefault="00000000">
      <w:r>
        <w:t>The MSEHSE Group maintains a thirdparty risk management programme with policies, organisation, governance and supporting technology that aligns with MSEHSE Group risk tolerance and is designed to meet regulatory requirements.</w:t>
      </w:r>
    </w:p>
    <w:p w14:paraId="083EB3B7" w14:textId="77777777" w:rsidR="000C5F3C" w:rsidRDefault="00000000">
      <w:r>
        <w:t>The MSEHSE Group, principally through the Morgan Stanley Groups Legal and Compliance Division, has established procedures based on legal and regulatory requirements that are designed to facilitate compliance with applicable statutory and regulatory requirements and to require that the MSEHSE Groups policies relating to business conduct, ethics and practices are followed globally.</w:t>
      </w:r>
    </w:p>
    <w:p w14:paraId="688126F4" w14:textId="2CC9406C" w:rsidR="000C5F3C" w:rsidRDefault="00000000">
      <w:r>
        <w:t>Pillar 3 Regulatory Disclosure, Operational Risk Page 61 In addition, the MSEHSE Group has established procedures to mitigate the risk that a counterpartys performance obligations are unenforceable, including consideration of counterparty legal authority and capacity, adequacy of legal documentation, the permissibility of a transaction under applicable law and whether applicable bankruptcy or insolvency laws limit or alter contractual remedies.</w:t>
      </w:r>
    </w:p>
    <w:p w14:paraId="3DC056AD" w14:textId="77777777" w:rsidR="000C5F3C" w:rsidRDefault="00000000">
      <w:r>
        <w:t>The implementation and operation of the Operational Risk Framework is overseen by forums at different levels in the MSEHSE Groups governance structure.</w:t>
      </w:r>
    </w:p>
    <w:p w14:paraId="16CA043D" w14:textId="77777777" w:rsidR="000C5F3C" w:rsidRDefault="00000000">
      <w:r>
        <w:t>In particular, The MSEHSE Group Operational Risk Management Policy.</w:t>
      </w:r>
    </w:p>
    <w:p w14:paraId="5F116662" w14:textId="77777777" w:rsidR="000C5F3C" w:rsidRDefault="00000000">
      <w:r>
        <w:lastRenderedPageBreak/>
        <w:t>For more information, refer to sustainability-at-morgan-stanley The Morgan Stanley Group is committed to mobilising $1 trillion in sustainable finance by 2030 which includes $750 billion to support low-carbon and green solutions.</w:t>
      </w:r>
    </w:p>
    <w:p w14:paraId="3991AFB8" w14:textId="77777777" w:rsidR="000C5F3C" w:rsidRDefault="00000000">
      <w:r>
        <w:t>Progress toward this goal is guided by the Morgan Stanley Groups Sustainable Finance Framework the Framework and tracked at the global Morgan Stanley Group level.</w:t>
      </w:r>
    </w:p>
    <w:p w14:paraId="250EF1D3" w14:textId="77777777" w:rsidR="000C5F3C" w:rsidRDefault="00000000">
      <w:r>
        <w:t>The ISI publishes regular thought leadership on sustainable finance trends and themes and also runs a number of initiatives including the Kellogg-Morgan Stanley Sustainable Investing Challenge, the Sustainable Investing Fellowship, and the MSISV.</w:t>
      </w:r>
    </w:p>
    <w:p w14:paraId="495FE62C" w14:textId="77777777" w:rsidR="000C5F3C" w:rsidRDefault="00000000">
      <w:r>
        <w:t>MSISV provides founders who may have experienced systemic barriers to accessing capital and/or have a focus on sustainability with access to capital and resources to scale innovative solutions globally.</w:t>
      </w:r>
    </w:p>
    <w:p w14:paraId="7F0DFA80" w14:textId="77777777" w:rsidR="000C5F3C" w:rsidRDefault="00000000">
      <w:r>
        <w:t>Prior to information on sustainability-related topics being brought to the Management Boards and the Supervisory Boards, it is subject to a review and challenge process.</w:t>
      </w:r>
    </w:p>
    <w:p w14:paraId="564FFC81" w14:textId="77777777" w:rsidR="000C5F3C" w:rsidRDefault="00000000">
      <w:r>
        <w:t>A dedicated EMEA ESG Committee supports the MSEHSE Group Management Boards and Supervisory Boards in their oversight of the relevant sustainability-related matters.</w:t>
      </w:r>
    </w:p>
    <w:p w14:paraId="5596D261" w14:textId="77777777" w:rsidR="000C5F3C" w:rsidRDefault="00000000">
      <w:r>
        <w:t>The MSEHSE Group Management Boards are responsible for approving the RAS, risk tolerance statements and limits, regulatory public disclosures and for determining the EMEA strategy, in relation to the Company, which include sustainabilityrelated considerations as applicable.</w:t>
      </w:r>
    </w:p>
    <w:p w14:paraId="1611B433" w14:textId="77777777" w:rsidR="000C5F3C" w:rsidRDefault="00000000">
      <w:r>
        <w:t>At the start of the year the MSEHSE Group Management Boards and Supervisory Boards considered the annual MSEHSE Group business strategy and priorities.</w:t>
      </w:r>
    </w:p>
    <w:p w14:paraId="403ABDA7" w14:textId="77777777" w:rsidR="000C5F3C" w:rsidRDefault="00000000">
      <w:r>
        <w:t>The MSEHSE Group Management Boards and Supervisory Boards considered and agreed performance priorities including in relation to Morgan Stanley's net zero strategy, Culture, Conduct, and Diversity and Inclusion and regularly considered performance against the priorities.</w:t>
      </w:r>
    </w:p>
    <w:p w14:paraId="288A8131" w14:textId="77777777" w:rsidR="000C5F3C" w:rsidRDefault="00000000">
      <w:r>
        <w:t>The MSEHSE Group Management Boards and Supervisory Boards received updates from the MSEHSE Group COO on activities and key findings within the MSEHSE Group Culture Action Plan, including in relation to Culture and Conduct, and Diversity and Inclusion.</w:t>
      </w:r>
    </w:p>
    <w:p w14:paraId="648B0040" w14:textId="77777777" w:rsidR="000C5F3C" w:rsidRDefault="00000000">
      <w:r>
        <w:t>The MSEHSE Group Management Boards and Supervisory Boards received focused reports on the energy transition and related risks as well as new global decarbonisation targets, and the related opportunities.</w:t>
      </w:r>
    </w:p>
    <w:p w14:paraId="43959415" w14:textId="77777777" w:rsidR="000C5F3C" w:rsidRDefault="00000000">
      <w:r>
        <w:t>The MSEHSE Group Management Boards reviewed and approved the MSEHSE Group Risk Strategy, including the RAS which include climate change as a driver of existing risks.</w:t>
      </w:r>
    </w:p>
    <w:p w14:paraId="5C5EB4A1" w14:textId="77777777" w:rsidR="000C5F3C" w:rsidRDefault="00000000">
      <w:r>
        <w:t>Climate transition risk is incorporated into the MSEHSE Group Risk Appetite and Limits Framework via a specific CSLL, that was set by the MSEHSE Group Management Boards.</w:t>
      </w:r>
    </w:p>
    <w:p w14:paraId="38447DDF" w14:textId="77777777" w:rsidR="000C5F3C" w:rsidRDefault="00000000">
      <w:r>
        <w:lastRenderedPageBreak/>
        <w:t>On a monthly basis, the MSEHSE Group Management Boards review the utilisation of the CSLL and the credit risk limits that are established for industries highly exposed to climate risk.</w:t>
      </w:r>
    </w:p>
    <w:p w14:paraId="369DB7BE" w14:textId="77777777" w:rsidR="000C5F3C" w:rsidRDefault="00000000">
      <w:r>
        <w:t>Refer to the section Climate and Environmental Risk Management Risk Appetite and Limit Framework for further details.</w:t>
      </w:r>
    </w:p>
    <w:p w14:paraId="5B9EC4CB" w14:textId="3FB92C00" w:rsidR="000C5F3C" w:rsidRDefault="00000000">
      <w:r>
        <w:t>Pillar 3 Regulatory Disclosure, Climate and Environmental Risk Page 65 The MSEHSE Group Risk Committee assists and provides guidance to the MSEHSE Group Supervisory Boards on the overall strategy and risk tolerance of MSEHSE Group as well as the management of financial and non-financial risks, including ESG risks.</w:t>
      </w:r>
    </w:p>
    <w:p w14:paraId="74F0989A" w14:textId="77777777" w:rsidR="000C5F3C" w:rsidRDefault="00000000">
      <w:r>
        <w:t>The MSEHSE Group Audit Committee assists and provides guidance to the MSEHSE Group Supervisory Boards in monitoring financial reporting, internal controls, and legal and regulatory compliance, including in relation to sustainability-related matters.</w:t>
      </w:r>
    </w:p>
    <w:p w14:paraId="4D1B4B9F" w14:textId="77777777" w:rsidR="000C5F3C" w:rsidRDefault="00000000">
      <w:r>
        <w:t>The MSEHSE Groups strategy is to support the Morgan Stanley Group in achieving the overall goal of net-zero financed emissions across its global business by 2050.</w:t>
      </w:r>
    </w:p>
    <w:p w14:paraId="2B310062" w14:textId="77777777" w:rsidR="000C5F3C" w:rsidRDefault="00000000">
      <w:r>
        <w:t>It will contribute to each component of a four-part climate strategy, Transition to a low-carbon economy – goal to reach net-zero financed emissions by 2050 and to mobilise $750 billion to support low-carbon and green solutions by 2030 see Environmental Information Sustainable Finance section.</w:t>
      </w:r>
    </w:p>
    <w:p w14:paraId="11E87F7A" w14:textId="77777777" w:rsidR="000C5F3C" w:rsidRDefault="00000000">
      <w:r>
        <w:t>Its approach to making progress towards its netzero goal is described in the Morgan Stanley Group ESG Report and focuses on 1 mobilising capital toward low-carbon solutions, 2 striving toward net-zero targets, and 3 maintaining carbon neutrality.</w:t>
      </w:r>
    </w:p>
    <w:p w14:paraId="1F6F36ED" w14:textId="77777777" w:rsidR="000C5F3C" w:rsidRDefault="00000000">
      <w:r>
        <w:t>To demonstrate progress toward its net-zero by 2050 target, the Morgan Stanley Group set interim 2030 Financed Emissions Lending Intensity FELI targets in November 2021 for the three most emissions-intensive sectors, Auto Manufacturing, Energy, and Power.</w:t>
      </w:r>
    </w:p>
    <w:p w14:paraId="389587D7" w14:textId="77777777" w:rsidR="000C5F3C" w:rsidRDefault="00000000">
      <w:r>
        <w:t>Accountability for this KPI sits with the MSEHSE Groups Management Boards.</w:t>
      </w:r>
    </w:p>
    <w:p w14:paraId="5B8916E0" w14:textId="77777777" w:rsidR="000C5F3C" w:rsidRDefault="00000000">
      <w:r>
        <w:t>The CSAF will help the Morgan Stanley Group to assess company targets, climate governance, plans and actions taken toward meeting targets, and Greenhouse Gas GHG emissions performance.</w:t>
      </w:r>
    </w:p>
    <w:p w14:paraId="353F6C10" w14:textId="3DD9E1C1" w:rsidR="000C5F3C" w:rsidRDefault="00000000">
      <w:r>
        <w:t>Pillar 3 Regulatory Disclosure, Climate and Environmental Risk Page 66 5 For further information on how carbon neutrality has been achieved, refer to of the 2023 Morgan Stanley Group ESG Report Resilience of Strategy and Business Model to Climate Change In 2022, the MSEHSE Group conducted a qualitative assessment of the potential business outcomes of four long-term scenarios that considered both transition and physical risk.</w:t>
      </w:r>
    </w:p>
    <w:p w14:paraId="5D216FBD" w14:textId="77777777" w:rsidR="000C5F3C" w:rsidRDefault="00000000">
      <w:r>
        <w:t>A quantitative assessment was also conducted by FRM, refer to the Environmental Information Climate and Environmental Risk Management section for further details.</w:t>
      </w:r>
    </w:p>
    <w:p w14:paraId="66C87BE7" w14:textId="77777777" w:rsidR="000C5F3C" w:rsidRDefault="00000000">
      <w:r>
        <w:lastRenderedPageBreak/>
        <w:t>To estimate the impact of climate risk on strategic risk, the impact on the MSEHSE Groups revenues as a result of adverse client impacts in the short-term transition carbon repricing scenario were modelled.</w:t>
      </w:r>
    </w:p>
    <w:p w14:paraId="34462961" w14:textId="77777777" w:rsidR="000C5F3C" w:rsidRDefault="00000000">
      <w:r>
        <w:t>Climate and environmental risks include negative potential impacts to biodiversity, pollution of land, water or air, climate change, deforestation and forest degradation, and other negative impacts on the environment as a result of human activities.</w:t>
      </w:r>
    </w:p>
    <w:p w14:paraId="02AE4DA0" w14:textId="77777777" w:rsidR="000C5F3C" w:rsidRDefault="00000000">
      <w:r>
        <w:t>Within climate and environmental risks, the risks arising from climate change are a particular area of focus.</w:t>
      </w:r>
    </w:p>
    <w:p w14:paraId="73E4AF5D" w14:textId="77777777" w:rsidR="000C5F3C" w:rsidRDefault="00000000">
      <w:r>
        <w:t>Transition Risks, Transitioning to a low-carbon and more environmentally sustainable economy will entail extensive regulatory, policy, legal, technology and market initiatives as society adapts to climate change, mitigates its causes and promotes a more sustainable environment.</w:t>
      </w:r>
    </w:p>
    <w:p w14:paraId="2728847D" w14:textId="77777777" w:rsidR="000C5F3C" w:rsidRDefault="00000000">
      <w:r>
        <w:t>The MSEHSE Group may also be exposed to litigation risk or reputational risk losses arising from compliance risks related to increasing and evolving ESG-focused regulation.</w:t>
      </w:r>
    </w:p>
    <w:p w14:paraId="586F89FF" w14:textId="77777777" w:rsidR="000C5F3C" w:rsidRDefault="00000000">
      <w:r>
        <w:t>The EMEA team is led out of the MSEHSE Group with primary responsibilities consisting of partnering with stakeholders to manage and embed climate and environmental risks in the risk management framework including regional regulatory requirements and with consideration of the MSEHSE Groups portfolio.</w:t>
      </w:r>
    </w:p>
    <w:p w14:paraId="4A0DECA1" w14:textId="77777777" w:rsidR="000C5F3C" w:rsidRDefault="00000000">
      <w:r>
        <w:t>Climate and environmental risks are incorporated into the MSEHSE Group risk management framework.</w:t>
      </w:r>
    </w:p>
    <w:p w14:paraId="133BB309" w14:textId="77777777" w:rsidR="000C5F3C" w:rsidRDefault="00000000">
      <w:r>
        <w:t>The MSEHSE Group risk management framework continues to be enhanced to meet requirements set out in new and evolving regulations.</w:t>
      </w:r>
    </w:p>
    <w:p w14:paraId="74500BE0" w14:textId="77777777" w:rsidR="000C5F3C" w:rsidRDefault="00000000">
      <w:r>
        <w:t>Risk events assessed for their impact on credit, market, liquidity and operational risks include, Transition risk driven by climate policy carbon repricing and accelerated green technology and other environmental policies reduction of pollution.</w:t>
      </w:r>
    </w:p>
    <w:p w14:paraId="3DE485A3" w14:textId="77777777" w:rsidR="000C5F3C" w:rsidRDefault="00000000">
      <w:r>
        <w:t>In addition to the CSLL, climate risk is incorporated into the credit risk management framework through industry sector limits as well as country and obligor ratings.</w:t>
      </w:r>
    </w:p>
    <w:p w14:paraId="02E7A266" w14:textId="6AB67636" w:rsidR="000C5F3C" w:rsidRDefault="00000000">
      <w:r>
        <w:t>Pillar 3 Regulatory Disclosure, Climate and Environmental Risk Page 68 Obligor Ratings, Climate risk is incorporated into the rating assessment for corporates.</w:t>
      </w:r>
    </w:p>
    <w:p w14:paraId="0B4DD0EA" w14:textId="77777777" w:rsidR="000C5F3C" w:rsidRDefault="00000000">
      <w:r>
        <w:t>Hence, the MSEHSE Group manages other environmental risks within the existing risk appetite and limit framework.</w:t>
      </w:r>
    </w:p>
    <w:p w14:paraId="43545AC8" w14:textId="77777777" w:rsidR="000C5F3C" w:rsidRDefault="00000000">
      <w:r>
        <w:t>For example, extreme flooding events present near-term physical risks to vulnerable regions and populations, while certain climate policy measures, particularly those implemented over several years, present longer-term challenges as economies adjust to increased costs and market or technological changes stemming for new policies.</w:t>
      </w:r>
    </w:p>
    <w:p w14:paraId="162B76DA" w14:textId="77777777" w:rsidR="000C5F3C" w:rsidRDefault="00000000">
      <w:r>
        <w:lastRenderedPageBreak/>
        <w:t>These emissions calculations are informed by guidance from the Partnership for Carbon Accounting Financials PCAF Global Greenhouse Gas Accounting and Reporting Standard.</w:t>
      </w:r>
    </w:p>
    <w:p w14:paraId="1C7B4956" w14:textId="74E1F24C" w:rsidR="000C5F3C" w:rsidRDefault="00000000">
      <w:r>
        <w:t>Pillar 3 Regulatory Disclosure, Climate and Environmental Risk Page 70 6 Network for Greening the Financial System NGFS is a group of Central Banks and Supervisors willing, on a voluntary basis, to share best practices and contribute to the development of environment and climate risk management in the financial sector.</w:t>
      </w:r>
    </w:p>
    <w:p w14:paraId="40B92E4D" w14:textId="77777777" w:rsidR="000C5F3C" w:rsidRDefault="00000000">
      <w:r>
        <w:t>Carbon emissions information from clients is subject to a data lag, which can be 12-18+ months after the underlying emission-generating activities have taken place.</w:t>
      </w:r>
    </w:p>
    <w:p w14:paraId="1B321372" w14:textId="77777777" w:rsidR="000C5F3C" w:rsidRDefault="00000000">
      <w:r>
        <w:t>To enhance data availability and support more consistent year-overyear analysis, the most recent full year of carbon data available as at the time of reporting is selected.</w:t>
      </w:r>
    </w:p>
    <w:p w14:paraId="6B20BD3A" w14:textId="77777777" w:rsidR="000C5F3C" w:rsidRDefault="00000000">
      <w:r>
        <w:t>Emissions intensive sectors according to Statistical Classification of Economic Activities in the European Community Codes NACE- Codes, as defined in the ECB Climate Risk Stress Test methodology.</w:t>
      </w:r>
    </w:p>
    <w:p w14:paraId="6208387A" w14:textId="77777777" w:rsidR="000C5F3C" w:rsidRDefault="00000000">
      <w:r>
        <w:t>The risk identification process is supported by a more granular assessment of physical risk, considering geographic locations see Environmental Information Risk Identification and Materiality Assessment.</w:t>
      </w:r>
    </w:p>
    <w:p w14:paraId="706B9B6D" w14:textId="77777777" w:rsidR="000C5F3C" w:rsidRDefault="00000000">
      <w:r>
        <w:t>Limited Company Reporting, Another limitation is the lack of company reporting across GHG scopes, especially for scope 3 emissions.</w:t>
      </w:r>
    </w:p>
    <w:p w14:paraId="6B368F25" w14:textId="77777777" w:rsidR="000C5F3C" w:rsidRDefault="00000000">
      <w:r>
        <w:t>Therefore, scope 3 emissions data is heavily dependent on estimation methodologies which can differ across data providers, and are subject to methodological updates, making year-over-year result comparisons more challenging.</w:t>
      </w:r>
    </w:p>
    <w:p w14:paraId="271E6386" w14:textId="77777777" w:rsidR="000C5F3C" w:rsidRDefault="00000000">
      <w:r>
        <w:t>For example, a company might report different emissions figures in its Carbon Disclosure Project CDP report, its annual report, and/or its sustainability report.</w:t>
      </w:r>
    </w:p>
    <w:p w14:paraId="53DCC081" w14:textId="1B19310B" w:rsidR="000C5F3C" w:rsidRDefault="00000000">
      <w:r>
        <w:t>Third-party data providers do not uniformly select one Pillar 3 Regulatory Disclosure, Climate and Environmental Risk Page 72 disclosure source over another source, resulting in data discrepancies across these data providers.</w:t>
      </w:r>
    </w:p>
    <w:p w14:paraId="56D1F0E0" w14:textId="77777777" w:rsidR="000C5F3C" w:rsidRDefault="00000000">
      <w:r>
        <w:t>Due diligence and risk management processes are designed to identify, assess and address, as appropriate, potentially significant environmental and social issues that may impact the Morgan Stanley Group, clients and other stakeholders.</w:t>
      </w:r>
    </w:p>
    <w:p w14:paraId="4F129D50" w14:textId="77777777" w:rsidR="000C5F3C" w:rsidRDefault="00000000">
      <w:r>
        <w:t>Transactions that carry potential franchise risk associated with environmental and social issues may be escalated to the MSEHSE Groups Global Franchise Committee, or Regional Franchise Committees such as the EMEA Franchise Committee, as well as business unit senior management.</w:t>
      </w:r>
    </w:p>
    <w:p w14:paraId="1829DB09" w14:textId="77777777" w:rsidR="000C5F3C" w:rsidRDefault="00000000">
      <w:r>
        <w:t>The ESPS is reviewed annually and updated as necessary to reflect strategy and key developments.</w:t>
      </w:r>
    </w:p>
    <w:p w14:paraId="497B015A" w14:textId="77777777" w:rsidR="000C5F3C" w:rsidRDefault="00000000">
      <w:r>
        <w:lastRenderedPageBreak/>
        <w:t xml:space="preserve">VC ensures that the valuation generated by the business units </w:t>
      </w:r>
      <w:proofErr w:type="gramStart"/>
      <w:r>
        <w:t>is in compliance with</w:t>
      </w:r>
      <w:proofErr w:type="gramEnd"/>
      <w:r>
        <w:t xml:space="preserve"> accounting standards.</w:t>
      </w:r>
    </w:p>
    <w:p w14:paraId="0EEFB5EF" w14:textId="77777777" w:rsidR="000C5F3C" w:rsidRDefault="00000000">
      <w:r>
        <w:t>The core components of the Liquidity Risk Management Framework are the Required Liquidity Framework, Liquidity Stress Tests and Liquidity Resources, which support the target liquidity profile.</w:t>
      </w:r>
    </w:p>
    <w:p w14:paraId="1D235C4E" w14:textId="77777777" w:rsidR="000C5F3C" w:rsidRDefault="00000000">
      <w:r>
        <w:t>They oversee and are ultimately responsible for the oversight of MSEHSE Group's and MSESE Consol's liquidity risk.</w:t>
      </w:r>
    </w:p>
    <w:p w14:paraId="7098E4F0" w14:textId="77777777" w:rsidR="000C5F3C" w:rsidRDefault="00000000">
      <w:r>
        <w:t>In addition to the internal liquidity risk management framework, the MSEHSE Group and MSESE Consol are subject to requirements prescribed by regulatory authorities, including Mindestanforderungen an das Risikomanagement MaRisk.</w:t>
      </w:r>
    </w:p>
    <w:p w14:paraId="3493CBC4" w14:textId="77777777" w:rsidR="000C5F3C" w:rsidRDefault="00000000">
      <w:r>
        <w:t>MSEHSE Group and MSESE Consol have daily monitoring and reporting processes, including Key Risk Indicators, in place to ensure compliance with their regulatory requirements.</w:t>
      </w:r>
    </w:p>
    <w:p w14:paraId="24FCEC5B" w14:textId="77777777" w:rsidR="000C5F3C" w:rsidRDefault="00000000">
      <w:r>
        <w:t>The primary goal of the Liquidity Risk Management Framework is to ensure that the MSEHSE Group and MSESE Consol have access to sufficient liquid assets across a wide range of market conditions and time horizons.</w:t>
      </w:r>
    </w:p>
    <w:p w14:paraId="160423D8" w14:textId="77777777" w:rsidR="000C5F3C" w:rsidRDefault="00000000">
      <w:r>
        <w:t>The following principles guide the Liquidity Risk Management Framework, Sufficient liquid assets should be maintained to cover maturing liabilities and other planned and contingent outflows.</w:t>
      </w:r>
    </w:p>
    <w:p w14:paraId="37DFE591" w14:textId="7FB93F0A" w:rsidR="000C5F3C" w:rsidRDefault="00000000">
      <w:r>
        <w:t>Pillar 3 Regulatory Disclosure, Liquidity Risk Page 76 The MSEHSE Group Management Boards establish and maintain liquidity policies.</w:t>
      </w:r>
    </w:p>
    <w:p w14:paraId="2376CC2F" w14:textId="77777777" w:rsidR="000C5F3C" w:rsidRDefault="00000000">
      <w:r>
        <w:t>Liquidity matters are reported regularly to the MSEHSE Group Management Boards and the MSEHSE Group Executive Risk Committee.</w:t>
      </w:r>
    </w:p>
    <w:p w14:paraId="1F83FF1E" w14:textId="77777777" w:rsidR="000C5F3C" w:rsidRDefault="00000000">
      <w:r>
        <w:t>LRD ensures transparency of material liquidity risks, compliance with established risk limits and escalation of risk concentrations to appropriate senior management.</w:t>
      </w:r>
    </w:p>
    <w:p w14:paraId="25DEE5C9" w14:textId="77777777" w:rsidR="000C5F3C" w:rsidRDefault="00000000">
      <w:r>
        <w:t>The methodology, implementation, production, and analysis of the Liquidity Stress Tests are important components of the Liquidity Risk Management Framework.</w:t>
      </w:r>
    </w:p>
    <w:p w14:paraId="73221939" w14:textId="77777777" w:rsidR="000C5F3C" w:rsidRDefault="00000000">
      <w:r>
        <w:t>The MSEHSE Group Management Boards have concluded that the MSEHSE Group and MSESE Consol have adequate liquidity for the size, nature and complexity of their business model and to pursue its strategy.</w:t>
      </w:r>
    </w:p>
    <w:p w14:paraId="7E2E8B4D" w14:textId="77777777" w:rsidR="000C5F3C" w:rsidRDefault="00000000">
      <w:r>
        <w:t>MSEHSE Group manages the risk of potential collateral calls on derivative positions by employing a variety of risk mitigation strategies, including modelling the impact of credit rating agency downgrades in the liquidity stress test program, monitoring historical changes in variation margin, diversifying risk exposures, hedging, managing counterparty and product risk limits and maintaining Liquidity Resources to enable the MSEHSE Group to meet unexpected collateral calls or other potentially adverse developments.</w:t>
      </w:r>
    </w:p>
    <w:p w14:paraId="5AA302E1" w14:textId="77777777" w:rsidR="000C5F3C" w:rsidRDefault="00000000">
      <w:r>
        <w:lastRenderedPageBreak/>
        <w:t>In compliance with regulatory guidelines, amounts presented are the annual median of the four quarter end values for the year, and are determined by interpolation.</w:t>
      </w:r>
    </w:p>
    <w:p w14:paraId="3AB25FF5" w14:textId="77777777" w:rsidR="000C5F3C" w:rsidRDefault="00000000">
      <w:r>
        <w:t>MSEHSE Group Remuneration Objectives and Strategy The MSEHSE Group is committed to a responsible and appropriate remuneration structure that is designed to align the performance and conduct of employees to its business and risk strategy.</w:t>
      </w:r>
    </w:p>
    <w:p w14:paraId="68181B42" w14:textId="77777777" w:rsidR="000C5F3C" w:rsidRDefault="00000000">
      <w:r>
        <w:t>The MSEHSE Group business strategy is focused on delivering a sustainable business model in line with Morgan Stanley Groups global business strategy and local regulatory requirements.</w:t>
      </w:r>
    </w:p>
    <w:p w14:paraId="7FDAAA55" w14:textId="77777777" w:rsidR="000C5F3C" w:rsidRDefault="00000000">
      <w:r>
        <w:t>The MSEHSE Groups remuneration arrangements are therefore also aligned to the wider Morgan Stanley Group strategy and the interests of shareholders.</w:t>
      </w:r>
    </w:p>
    <w:p w14:paraId="02C58CA6" w14:textId="77777777" w:rsidR="000C5F3C" w:rsidRDefault="00000000">
      <w:r>
        <w:t>The remuneration structures are also designed to be motivating, competitive, reflect the current best practices in corporate governance and risk management, and comply with applicable regulations.</w:t>
      </w:r>
    </w:p>
    <w:p w14:paraId="6FB162E4" w14:textId="77777777" w:rsidR="000C5F3C" w:rsidRDefault="00000000">
      <w:r>
        <w:t>Robust governance around review and approval of remuneration programs, including from a risk perspective.</w:t>
      </w:r>
    </w:p>
    <w:p w14:paraId="032BB394" w14:textId="00B45CB2" w:rsidR="000C5F3C" w:rsidRDefault="00000000">
      <w:r>
        <w:t>Pillar 3 Regulatory Disclosure, Remuneration Page 89 7 The MSEHSE Group, as referred to in chapter 18, includes MSEHSE, MSESE including branches, and MSBAG.</w:t>
      </w:r>
    </w:p>
    <w:p w14:paraId="3E94EAA4" w14:textId="77777777" w:rsidR="000C5F3C" w:rsidRDefault="00000000">
      <w:r>
        <w:t>The MSEHSE Group Management Boards review the appropriateness of the remuneration system for all employees, and its implementation, especially in the case of material strategic and organisational changes.</w:t>
      </w:r>
    </w:p>
    <w:p w14:paraId="71FA600E" w14:textId="77777777" w:rsidR="000C5F3C" w:rsidRDefault="00000000">
      <w:r>
        <w:t>Consistency of the remuneration strategy with the MSEHSE Group business strategy is considered in co-ordination with the MSEHSE RemCo.</w:t>
      </w:r>
    </w:p>
    <w:p w14:paraId="2D43FF0F" w14:textId="77777777" w:rsidR="000C5F3C" w:rsidRDefault="00000000">
      <w:r>
        <w:t>The MSEHSE RemCo has been appointed by the MSEHSE Group Supervisory Boards to assist in the oversight of remuneration related matters.</w:t>
      </w:r>
    </w:p>
    <w:p w14:paraId="249CB399" w14:textId="77777777" w:rsidR="000C5F3C" w:rsidRDefault="00000000">
      <w:r>
        <w:t>The MSEHSE Group Remuneration Officers responsibilities include monitoring the appropriateness of the remuneration systems for staff members who are not members of the MSEHSE Group Management Boards on an ongoing basis.</w:t>
      </w:r>
    </w:p>
    <w:p w14:paraId="2AA2C38F" w14:textId="77777777" w:rsidR="000C5F3C" w:rsidRDefault="00000000">
      <w:r>
        <w:t>To this end, the Remuneration Officer reviews the development and ongoing application of the MSEHSE Groups remuneration policies and practices, performs independent monitoring obligations and advises the MSEHSE Supervisory Boards and its RemCo.</w:t>
      </w:r>
    </w:p>
    <w:p w14:paraId="413509A9" w14:textId="77777777" w:rsidR="000C5F3C" w:rsidRDefault="00000000">
      <w:r>
        <w:t>Role of External Consultants and Other Stakeholders The MSEHSE RemCo, the MSI RemCo and the CMDS Committee have the power to appoint independent remuneration consultants, legal counsel, financial or other advisors as they may deem necessary to assist in the performance of their duties and responsibilities.</w:t>
      </w:r>
    </w:p>
    <w:p w14:paraId="2AC06187" w14:textId="77777777" w:rsidR="000C5F3C" w:rsidRDefault="00000000">
      <w:r>
        <w:lastRenderedPageBreak/>
        <w:t>In 2024, external counsels were engaged by the MSEHSE Group to provide advice to support the enhancement of the remuneration system and to support implementing the requirements of the EU Pay Transparency Directive.</w:t>
      </w:r>
    </w:p>
    <w:p w14:paraId="316A364F" w14:textId="77777777" w:rsidR="000C5F3C" w:rsidRDefault="00000000">
      <w:r>
        <w:t>Together with the Global CRO, the CMDS Committee oversees the Morgan Stanley Groups variable remuneration practices and arrangements to help ensure that such practices and arrangements, are designed in accordance with the Morgan Stanley Group's responsibility to appropriately balance risk and financial results in a manner that does not encourage employees to expose the Morgan Stanley Group to imprudent financial or non-financial risk,, are consistent with the safety and soundness of the Firm, and, are consistent with applicable related regulatory rules and guidance.</w:t>
      </w:r>
    </w:p>
    <w:p w14:paraId="52B24C5D" w14:textId="77777777" w:rsidR="000C5F3C" w:rsidRDefault="00000000">
      <w:r>
        <w:t>The day-to-day compliance with the MSEHSE Groups obligations under the German Remuneration Rules is delegated to the MSEHSE Group HCM function.</w:t>
      </w:r>
    </w:p>
    <w:p w14:paraId="1D28798F" w14:textId="77777777" w:rsidR="000C5F3C" w:rsidRDefault="00000000">
      <w:r>
        <w:t>Identification of Material Risk Takers The MSEHSE Group has established a formal identification framework to identify employees whose professional activities have a material impact on MSEHSE Groups risk profile, referred to as Material Risk Takers MRTs.</w:t>
      </w:r>
    </w:p>
    <w:p w14:paraId="34CC1A66" w14:textId="77777777" w:rsidR="000C5F3C" w:rsidRDefault="00000000">
      <w:r>
        <w:t>In line with the German Remuneration Rules, the identification framework is reviewed on an annual basis by the MSEHSE Group HCM function in consultation with the Control Functions and the Remuneration Officer.</w:t>
      </w:r>
    </w:p>
    <w:p w14:paraId="151D7E6B" w14:textId="77777777" w:rsidR="000C5F3C" w:rsidRDefault="00000000">
      <w:r>
        <w:t>Risk outcomes that result in a negative impact to the Morgan Stanley Group reduce the value of the equity award, and employees are subject to this decline in value through the deferral period.</w:t>
      </w:r>
    </w:p>
    <w:p w14:paraId="27878DAA" w14:textId="77777777" w:rsidR="000C5F3C" w:rsidRDefault="00000000">
      <w:r>
        <w:t>The pool for the general MSEHSE employee population is reviewed by the MSEHSE Group Management Boards against financial and risk KPIs to ensure sufficient risk bearing capacity, as well as adequate liquidity and capital resources, and to recommend any necessary adjustments as required to maintain a sound capital base.</w:t>
      </w:r>
    </w:p>
    <w:p w14:paraId="16526E7B" w14:textId="77777777" w:rsidR="000C5F3C" w:rsidRDefault="00000000">
      <w:r>
        <w:t>Under the recommendation of the MSEHSE Group RemCos, the MSEHSE Group Supervisory Boards perform the same review for the final variable remuneration pool in respect of the entire MSEHSE Group, including the members of the MSEHSE Group Management Boards.</w:t>
      </w:r>
    </w:p>
    <w:p w14:paraId="23E69127" w14:textId="0B7B15B3" w:rsidR="000C5F3C" w:rsidRDefault="00000000">
      <w:r>
        <w:t xml:space="preserve">The MSEHSE Groups internal capital adequacy, multi-year capital planning and profit situation and </w:t>
      </w:r>
      <w:r w:rsidR="006457D3">
        <w:t>w</w:t>
      </w:r>
      <w:r>
        <w:t xml:space="preserve">hether the respective legal entities and the overall MSEHSE Group are capable of permanently maintaining or restoring, </w:t>
      </w:r>
      <w:proofErr w:type="gramStart"/>
      <w:r>
        <w:t>a</w:t>
      </w:r>
      <w:proofErr w:type="gramEnd"/>
      <w:r>
        <w:t xml:space="preserve"> adequate capital and liquidity resources.</w:t>
      </w:r>
    </w:p>
    <w:p w14:paraId="5F5B5424" w14:textId="77777777" w:rsidR="000C5F3C" w:rsidRDefault="00000000">
      <w:r>
        <w:t>All MSEHSE Group employees have an Employee Performance Dashboard, which is an aggregation of various performance inputs, including non-financial and conduct related information, as applicable, in three areas, Employee self evaluation includes an employee's goals and self-evaluation on annual performance in defined categories.</w:t>
      </w:r>
    </w:p>
    <w:p w14:paraId="4DB7D426" w14:textId="77777777" w:rsidR="000C5F3C" w:rsidRDefault="00000000">
      <w:r>
        <w:t xml:space="preserve">Additionally, the Morgan Stanley Group has designated certain global employees as Covered Employees CE in accordance with a global framework given their potential to expose the </w:t>
      </w:r>
      <w:r>
        <w:lastRenderedPageBreak/>
        <w:t>Firm to significant risk as an individual or a group based on their role and/or responsibilities.</w:t>
      </w:r>
    </w:p>
    <w:p w14:paraId="2052A54D" w14:textId="77777777" w:rsidR="000C5F3C" w:rsidRDefault="00000000">
      <w:r>
        <w:t>Depending on the level of material risk CE employees are subject to additional performance management and remuneration processes, including Requirement to select evaluators from Risk and Control related divisions.</w:t>
      </w:r>
    </w:p>
    <w:p w14:paraId="1D9C393E" w14:textId="77777777" w:rsidR="000C5F3C" w:rsidRDefault="00000000">
      <w:r>
        <w:t>The policy specifically provides that all managers must consider whether their team members managed risk appropriately, and effectively managed and supervised the risk control practices of the employees reporting into them during the performance year.</w:t>
      </w:r>
    </w:p>
    <w:p w14:paraId="0D4CB0D4" w14:textId="77777777" w:rsidR="000C5F3C" w:rsidRDefault="00000000">
      <w:r>
        <w:t>In determining the amount of discretionary variable remuneration to award an eligible employee, only those factors that are legitimate, business-related and consistent with MSEHSE Groups legal and regulatory obligations and policies and practices are considered.</w:t>
      </w:r>
    </w:p>
    <w:p w14:paraId="52287C6C" w14:textId="77777777" w:rsidR="000C5F3C" w:rsidRDefault="00000000">
      <w:r>
        <w:t>The employees conduct and adherence to the Morgan Stanley Groups core values, including Commit to Diversity and Inclusion, ensuring a focus on diversity and inclusion when making remuneration decisions.</w:t>
      </w:r>
    </w:p>
    <w:p w14:paraId="763A190B" w14:textId="77777777" w:rsidR="000C5F3C" w:rsidRDefault="00000000">
      <w:r>
        <w:t>Any circumstances during the performance year that may result in the cancellation and/or clawback of the employees previously awarded variable remuneration.</w:t>
      </w:r>
    </w:p>
    <w:p w14:paraId="2DDFA4B9" w14:textId="298D19BD" w:rsidR="000C5F3C" w:rsidRDefault="00000000">
      <w:r>
        <w:t>Pillar 3 Regulatory Disclosure, Remuneration Page 93 The allocation of variable remuneration to employees of MSEHSE Group is a discretionary process, in each instance determined in conjunction with input from an MSEHSE Group manager and informed by the performance evaluation process outlined above.</w:t>
      </w:r>
    </w:p>
    <w:p w14:paraId="77BF0C12" w14:textId="77777777" w:rsidR="000C5F3C" w:rsidRDefault="00000000">
      <w:r>
        <w:t>Remuneration decisions for members of the MSEHSE Group Management Boards are reviewed and challenged as appropriate by the MSEHSE Group RemCos prior to approval by the MSEHSE Group Supervisory Boards.</w:t>
      </w:r>
    </w:p>
    <w:p w14:paraId="773EF796" w14:textId="4FBDD394" w:rsidR="000C5F3C" w:rsidRDefault="00000000">
      <w:r>
        <w:t xml:space="preserve">Pillar 3 Regulatory Disclosure, Remuneration Page 95, Structure for MRT variable remuneration up to a maximum of € 500,000, Structure for MRT variable remuneration higher than € 500,000 The MSEHSE Group expects deferred remuneration awards to constitute a significant component of </w:t>
      </w:r>
      <w:r w:rsidR="00E9224A">
        <w:t>employees’</w:t>
      </w:r>
      <w:r>
        <w:t xml:space="preserve"> variable remuneration and to be designed to protect Morgan Stanley Groups long-term interests and align with shareholders interests.</w:t>
      </w:r>
    </w:p>
    <w:p w14:paraId="45AD28A8" w14:textId="77777777" w:rsidR="000C5F3C" w:rsidRDefault="00000000">
      <w:r>
        <w:t>Termination payments made to certain employees upon leaving the MSEHSE Group are considered in accordance with the MSEHSE Groups severance policy, and are intended to avoid rewarding negative performance contributions or misconduct, in line with the requirements of the German Remuneration Rules and the EBA Guidelines on Sound Remuneration Policies.</w:t>
      </w:r>
    </w:p>
    <w:p w14:paraId="1EFD95EA" w14:textId="029DA982" w:rsidR="000C5F3C" w:rsidRDefault="00000000">
      <w:r>
        <w:t xml:space="preserve">This process involves the EROC assessing situations which Pillar 3 Regulatory Disclosure, Remuneration Page 96 may warrant adjustment to current year variable remuneration and/or to apply cancellation and/or clawback to previously awarded remuneration, with </w:t>
      </w:r>
      <w:r>
        <w:lastRenderedPageBreak/>
        <w:t>reference to specific criteria that are contained in governing incentive remuneration award documents and applicable policies.</w:t>
      </w:r>
    </w:p>
    <w:p w14:paraId="016D0688" w14:textId="77777777" w:rsidR="000C5F3C" w:rsidRDefault="00000000">
      <w:r>
        <w:t>In addition to the above governance processes, conduct driven adjustments to current-year variable remuneration proposed by managers as part of the remuneration decision-making process are reviewed by a MSEHSE Group panel composed of senior representatives from the Risk, Legal, Compliance and HCM functions.</w:t>
      </w:r>
    </w:p>
    <w:p w14:paraId="4EA03EAF" w14:textId="77777777" w:rsidR="000C5F3C" w:rsidRDefault="00000000">
      <w:r>
        <w:t>Remuneration adjustments are also reviewed globally to ensure consistent application.</w:t>
      </w:r>
    </w:p>
    <w:p w14:paraId="7491B104" w14:textId="77777777" w:rsidR="000C5F3C" w:rsidRDefault="00000000">
      <w:r>
        <w:t>Circumstances which trigger the application of this policy for the MSEHSE Group employees include but are not limited to, There is reasonable evidence of serious misconduct.</w:t>
      </w:r>
    </w:p>
    <w:p w14:paraId="1440CBE9" w14:textId="77777777" w:rsidR="000C5F3C" w:rsidRDefault="00000000">
      <w:r>
        <w:t>Any variable remuneration is subject to repayment, recovery and recapture pursuant to the EMEA MRT Cancellation and Clawback Policy, as amended from time to time, and any applicable clawback, repayment, recapture or recovery requirements imposed under applicable laws, rules and regulations.</w:t>
      </w:r>
    </w:p>
    <w:p w14:paraId="14DB5AE0" w14:textId="77777777" w:rsidR="000C5F3C" w:rsidRDefault="00000000">
      <w:r>
        <w:t>In addition to the requirements of Article 450 CRR, Article 17 of the Implementing Regulation 2021/637 defines the regulatory requirements for disclosure in accordance with Annex XXXIII.</w:t>
      </w:r>
    </w:p>
    <w:p w14:paraId="3E3A03D0" w14:textId="757C8460" w:rsidR="000C5F3C" w:rsidRDefault="00000000">
      <w:r>
        <w:t>Number of identified staff beneficiaries by full-time employment according to EBA guidelines Pillar 3 Regulatory Disclosure, Remuneration Page 98 8 Aggregate remuneration data is also reported in the MSEHSE Group's Financial Statements under IFRS.</w:t>
      </w:r>
    </w:p>
    <w:p w14:paraId="52B1247E" w14:textId="77777777" w:rsidR="000C5F3C" w:rsidRDefault="00000000">
      <w:r>
        <w:t>To support this process, the Nomination Committees and Supervisory Board consider and review reports on individuals identified as potential candidates for succession purposes, irrespective of whether there is a specific vacancy.</w:t>
      </w:r>
    </w:p>
    <w:p w14:paraId="70D1DF1F" w14:textId="77777777" w:rsidR="000C5F3C" w:rsidRDefault="00000000">
      <w:r>
        <w:t>The MSEHSE Group Supervisory Boards aspire to continue to meet or exceed diversity targets, including a minimum, 33% female representation, and, one Supervisory Board member from an ethnic diverse background.</w:t>
      </w:r>
    </w:p>
    <w:p w14:paraId="3E6990F0" w14:textId="77777777" w:rsidR="000C5F3C" w:rsidRDefault="00000000">
      <w:r>
        <w:t>Prior to joining Citigroup, Raja worked in the credit policy group at Fitch Ratings in New York as a Senior Director and Head of Accounting Policy and Research.</w:t>
      </w:r>
    </w:p>
    <w:p w14:paraId="72EA1795" w14:textId="77777777" w:rsidR="000C5F3C" w:rsidRDefault="00000000">
      <w:r>
        <w:t>He was a Partner at Ernst &amp; Young from 1986 to 1995, leading the audit of a number of large financial services groups and being responsible for one of Ernst &amp; Youngs audit divisions before leaving in 1995 to become CFO of BZW/Barclays Capital.</w:t>
      </w:r>
    </w:p>
    <w:p w14:paraId="1997AB83" w14:textId="77777777" w:rsidR="000C5F3C" w:rsidRDefault="00000000">
      <w:r>
        <w:t>Paula has over thirty years experience in the financial sector, with a particular focus on Control Functions as well as extensive experience in Governance, Operations and Strategic Planning.</w:t>
      </w:r>
    </w:p>
    <w:p w14:paraId="6A9B8825" w14:textId="44EF5C83" w:rsidR="000C5F3C" w:rsidRDefault="00000000">
      <w:r>
        <w:lastRenderedPageBreak/>
        <w:t>Pillar 3 Regulatory Disclosure, Appendix III, Own Funds Disclosure Template Page 115 Below table shows the reconciliation of regulatory own funds in to balance sheet in the audited financial statements.</w:t>
      </w:r>
    </w:p>
    <w:p w14:paraId="6BC2DF30" w14:textId="2DBCE987" w:rsidR="000C5F3C" w:rsidRDefault="00000000">
      <w:r>
        <w:t xml:space="preserve">Pillar 3 Regulatory Disclosure, Appendix V, Additional Credit &amp; Counterparty Credit Risk Tables Page 126 Below table shows the breakdown of exposures under the F-IRB approach by exposure class as </w:t>
      </w:r>
      <w:proofErr w:type="gramStart"/>
      <w:r>
        <w:t>at</w:t>
      </w:r>
      <w:proofErr w:type="gramEnd"/>
      <w:r>
        <w:t xml:space="preserve"> 31 December 2024 for the MSEHSE Group and MSESE Consol.</w:t>
      </w:r>
    </w:p>
    <w:p w14:paraId="2DF915EC" w14:textId="4357B503" w:rsidR="000C5F3C" w:rsidRDefault="00000000">
      <w:r>
        <w:t xml:space="preserve">Pillar 3 Regulatory Disclosure, Appendix V, Additional Credit &amp; Counterparty Credit Risk Tables Page 130 Below table presents all relevant parameters used for the calculation of CCR capital requirements of the IRB approach categorized into exposure classes and PD ranges as </w:t>
      </w:r>
      <w:proofErr w:type="gramStart"/>
      <w:r>
        <w:t>at</w:t>
      </w:r>
      <w:proofErr w:type="gramEnd"/>
      <w:r>
        <w:t xml:space="preserve"> 31 December 2024 for the MSEHSE Group.</w:t>
      </w:r>
    </w:p>
    <w:p w14:paraId="47CABE59" w14:textId="16C80D2F" w:rsidR="000C5F3C" w:rsidRDefault="00000000">
      <w:r>
        <w:t>Pillar 3 Regulatory Disclosure, Appendix V, Additional Credit &amp; Counterparty Credit Risk Tables Page 132 Below table shows, exposure values as defined in Article 166 CRR and, the total exposure value for exposures subject to the SA and to the IRB approach, defined by Article 429, CRR under the leverage approach.</w:t>
      </w:r>
    </w:p>
    <w:p w14:paraId="47F53E57" w14:textId="13AE766E" w:rsidR="000C5F3C" w:rsidRDefault="00000000">
      <w:r>
        <w:t>Pillar 3 Regulatory Disclosure, Appendix V, Additional Credit &amp; Counterparty Credit Risk Tables Page 133 Below table represents the breakdown of exposure value based on Standardised and IRB approaches.</w:t>
      </w:r>
    </w:p>
    <w:p w14:paraId="1929A781" w14:textId="19FEA426" w:rsidR="000C5F3C" w:rsidRDefault="00000000">
      <w:r>
        <w:t>Climate and Environmental Risk Article 449a of CRR Environmental, Social and Governance risks ESG disclosure requirements No Which have issued securities and are admitted to trading on a regulated market of any Member State – this did not apply to the MSEHSE Group in 2022 No 16.</w:t>
      </w:r>
    </w:p>
    <w:sectPr w:rsidR="000C5F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745759401">
    <w:abstractNumId w:val="8"/>
  </w:num>
  <w:num w:numId="2" w16cid:durableId="915364059">
    <w:abstractNumId w:val="6"/>
  </w:num>
  <w:num w:numId="3" w16cid:durableId="539361849">
    <w:abstractNumId w:val="5"/>
  </w:num>
  <w:num w:numId="4" w16cid:durableId="1181243445">
    <w:abstractNumId w:val="4"/>
  </w:num>
  <w:num w:numId="5" w16cid:durableId="687564838">
    <w:abstractNumId w:val="7"/>
  </w:num>
  <w:num w:numId="6" w16cid:durableId="834027965">
    <w:abstractNumId w:val="3"/>
  </w:num>
  <w:num w:numId="7" w16cid:durableId="626350459">
    <w:abstractNumId w:val="2"/>
  </w:num>
  <w:num w:numId="8" w16cid:durableId="1155340277">
    <w:abstractNumId w:val="1"/>
  </w:num>
  <w:num w:numId="9" w16cid:durableId="2013988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457"/>
    <w:rsid w:val="00034616"/>
    <w:rsid w:val="0006063C"/>
    <w:rsid w:val="000C5F3C"/>
    <w:rsid w:val="0015074B"/>
    <w:rsid w:val="0017463C"/>
    <w:rsid w:val="001C11BF"/>
    <w:rsid w:val="0029639D"/>
    <w:rsid w:val="00326F90"/>
    <w:rsid w:val="006457D3"/>
    <w:rsid w:val="006C0452"/>
    <w:rsid w:val="00711DD0"/>
    <w:rsid w:val="00A57C02"/>
    <w:rsid w:val="00AA1D8D"/>
    <w:rsid w:val="00AD0344"/>
    <w:rsid w:val="00B47730"/>
    <w:rsid w:val="00CB0664"/>
    <w:rsid w:val="00D45721"/>
    <w:rsid w:val="00D45741"/>
    <w:rsid w:val="00E922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7AE362"/>
  <w14:defaultImageDpi w14:val="300"/>
  <w15:docId w15:val="{83F9B840-C550-EB4C-8E85-90E104B6F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6084</Words>
  <Characters>34680</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11</cp:revision>
  <dcterms:created xsi:type="dcterms:W3CDTF">2013-12-23T23:15:00Z</dcterms:created>
  <dcterms:modified xsi:type="dcterms:W3CDTF">2025-08-01T09:44:00Z</dcterms:modified>
  <cp:category/>
</cp:coreProperties>
</file>