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3315E" w14:textId="77777777" w:rsidR="00F032C3" w:rsidRDefault="00000000">
      <w:r>
        <w:t>The European Bank considers its risk management arrangements and systems are adequate with regards to its profile and strategy.</w:t>
      </w:r>
    </w:p>
    <w:p w14:paraId="48F9D62A" w14:textId="77777777" w:rsidR="00F032C3" w:rsidRDefault="00000000">
      <w:r>
        <w:t>This includes key information on the scope of application, capital, risk-weighted exposures, risk management processes and remuneration, enabling users to better understand and compare its business, its risks and capital adequacy.</w:t>
      </w:r>
    </w:p>
    <w:p w14:paraId="3399DC21" w14:textId="77777777" w:rsidR="00F032C3" w:rsidRDefault="00000000">
      <w:r>
        <w:t>To that end, Pillar 3 principles require disclosure of risk management objectives and policies for each of the categories of risk on the following page alongside defined quantitative disclosures.</w:t>
      </w:r>
    </w:p>
    <w:p w14:paraId="309EB3C8" w14:textId="77777777" w:rsidR="00F032C3" w:rsidRDefault="00000000">
      <w:r>
        <w:t>Where appropriate, the disclosures also include comparatives for the prior periods and an analysis of the more significant movements to provide greater insight into the risk management practices of the European Bank and its risk profile.</w:t>
      </w:r>
    </w:p>
    <w:p w14:paraId="5363D8AC" w14:textId="77777777" w:rsidR="00F032C3" w:rsidRDefault="00000000">
      <w:r>
        <w:t>The European Bank is also supervised by the FSMA which is responsible for the integrity of the financial markets and fair treatment of financial consumers in Belgium pursuant to the Act of 2 August 2002 on the supervision of the financial sector and on financial services.</w:t>
      </w:r>
    </w:p>
    <w:p w14:paraId="387C103B" w14:textId="77777777" w:rsidR="00F032C3" w:rsidRDefault="00000000">
      <w:r>
        <w:t>The model has evolved and covers 5 key areas, Banking and other entities which includes the EMEA Operating Model Programme or Three-Bank-Model, Governance &amp; Accountability, Booking and Solicitation Practices, Resilience Operations and Technology, and FX Trading.</w:t>
      </w:r>
    </w:p>
    <w:p w14:paraId="0A8787CC" w14:textId="77777777" w:rsidR="00F032C3" w:rsidRDefault="00000000">
      <w:r>
        <w:t>Furthermore, regulatory change has been a large component of the change agenda and will continue to be so with a large number of regulatory change initiatives in execution mode as well as on the horizon.</w:t>
      </w:r>
    </w:p>
    <w:p w14:paraId="0C7140DB" w14:textId="77777777" w:rsidR="00F032C3" w:rsidRDefault="00000000">
      <w:r>
        <w:t>Senior leadership has been engaged in a governance and accountability review related to the reporting line structure, aimed at meeting regulatory expectations as well as those of our clients and other stakeholders.</w:t>
      </w:r>
    </w:p>
    <w:p w14:paraId="6FD1B752" w14:textId="77777777" w:rsidR="00F032C3" w:rsidRDefault="00000000">
      <w:r>
        <w:t>The difference relates to the application of methodologies inherent in the framework required to arrive at the exposure amount considered for regulatory purposes.</w:t>
      </w:r>
    </w:p>
    <w:p w14:paraId="5B72B39B" w14:textId="77777777" w:rsidR="00F032C3" w:rsidRDefault="00000000">
      <w:r>
        <w:t>Decisions are made after comprehensive reviews of key capital ratios and metrics to ensure strategic and regulatory objectives are satisfied.</w:t>
      </w:r>
    </w:p>
    <w:p w14:paraId="5A613406" w14:textId="77777777" w:rsidR="00F032C3" w:rsidRDefault="00000000">
      <w:r>
        <w:t>The European Bank exceeds the minimum capital ratios required to maintain a well-capitalised status and to ensure compliance with regulatory requirements at all times.</w:t>
      </w:r>
    </w:p>
    <w:p w14:paraId="5E15A78A" w14:textId="77777777" w:rsidR="00F032C3" w:rsidRDefault="00000000">
      <w:r>
        <w:t>The European Bank sets the internal capital target levels higher than the minimum regulatory requirements to ensure there is a buffer which reflects balance sheet volatility.</w:t>
      </w:r>
    </w:p>
    <w:p w14:paraId="7FC93F68" w14:textId="77777777" w:rsidR="00F032C3" w:rsidRDefault="00000000">
      <w:r>
        <w:t>BNY Mellon has developed an enterprise risk management programme that is designed to ensure that, risk limits are in place to govern its risk-taking activities across all businesses and risk types.</w:t>
      </w:r>
    </w:p>
    <w:p w14:paraId="669276A9" w14:textId="77777777" w:rsidR="00F032C3" w:rsidRDefault="00000000">
      <w:r>
        <w:lastRenderedPageBreak/>
        <w:t>The European Bank has adopted a conservative capital risk appetite to maintain a strong capital position and balance sheet throughout all market cycles with strong liquidity, superior asset quality, ready access to external funding sources at competitive rates and a strong capital structure whilst delivering operational excellence to meet stakeholders expectations.</w:t>
      </w:r>
    </w:p>
    <w:p w14:paraId="1BDF113B" w14:textId="77777777" w:rsidR="00F032C3" w:rsidRDefault="00000000">
      <w:r>
        <w:t>Any changes to the risk profile are typically a result of new business and growth with risks mitigated through the internal governance, controls and risk management practices.</w:t>
      </w:r>
    </w:p>
    <w:p w14:paraId="57A4C41F" w14:textId="77777777" w:rsidR="00F032C3" w:rsidRDefault="00000000">
      <w:r>
        <w:t>The risk framework includes standard risk management self-assessment tools that take into account loss history and stress testing to measure and monitor whether or not risk controls in place continue to remain effective.</w:t>
      </w:r>
    </w:p>
    <w:p w14:paraId="6704C23C" w14:textId="77777777" w:rsidR="00F032C3" w:rsidRDefault="00000000">
      <w:r>
        <w:t>A formal governance hierarchy is in place to ensure that all areas of the business can effectively escalate issues through the regional and global structure.</w:t>
      </w:r>
    </w:p>
    <w:p w14:paraId="3C9C63FE" w14:textId="77777777" w:rsidR="00F032C3" w:rsidRDefault="00000000">
      <w:r>
        <w:t>The main duties and responsibilities of the Board of the European Bank include, but are not limited to, defining the general business strategy, objectives and values of the European Bank in line with those of The Bank of New York Mellon.</w:t>
      </w:r>
    </w:p>
    <w:p w14:paraId="56B4EC33" w14:textId="77777777" w:rsidR="00F032C3" w:rsidRDefault="00000000">
      <w:r>
        <w:t>The European Bank is committed to diversity and inclusion.</w:t>
      </w:r>
    </w:p>
    <w:p w14:paraId="75D65410" w14:textId="77777777" w:rsidR="00F032C3" w:rsidRDefault="00000000">
      <w:r>
        <w:t>Having a combination of diverse relevant personal attributes on the Board provides a range of perspectives, insights and challenge needed to support good decision making.</w:t>
      </w:r>
    </w:p>
    <w:p w14:paraId="3A63ED76" w14:textId="77777777" w:rsidR="00F032C3" w:rsidRDefault="00000000">
      <w:r>
        <w:t>The RMC is responsible for ensuring that risk and compliance activities undertaken by the European Bank and its underlying branches, and businesses are executed in accordance with the European Bank's Risk Appetite Statement 'RAS', policies, and regulations.</w:t>
      </w:r>
    </w:p>
    <w:p w14:paraId="2699A741" w14:textId="77777777" w:rsidR="00F032C3" w:rsidRDefault="00000000">
      <w:r>
        <w:t>Asset and Liability Committee 'ALCO' The European Bank's ALCO is responsible for overseeing the asset and liability management activities on the balance sheet of the European Bank including its branches and subsidiary, and for ensuring compliance with all liquidity, interest rate risk and capital related regulatory requirements.</w:t>
      </w:r>
    </w:p>
    <w:p w14:paraId="6FB224DA" w14:textId="77777777" w:rsidR="00F032C3" w:rsidRDefault="00000000">
      <w:r>
        <w:t>To ensure continuation of activities and oversight, the RMC takes over all activities and responsibilities of the TRC and voting members of the TRC are integrated in the quorum of the RMC.</w:t>
      </w:r>
    </w:p>
    <w:p w14:paraId="203CC0E6" w14:textId="0A45B042" w:rsidR="00F032C3" w:rsidRDefault="00000000">
      <w:r>
        <w:t>Capital and Stress Testing Committee CSTC</w:t>
      </w:r>
      <w:r w:rsidR="00A779D8">
        <w:t xml:space="preserve"> t</w:t>
      </w:r>
      <w:r>
        <w:t>he purpose of the CSTC is to ensure adequate governance and understanding of, and ownership for the processes and documentation pertaining to, the European Banks capital requirements economic, regulatory, adequacy and allocation, the risk economic capital model methodologies and stress testing.</w:t>
      </w:r>
    </w:p>
    <w:p w14:paraId="55C0FB37" w14:textId="4936804E" w:rsidR="00F032C3" w:rsidRDefault="00000000">
      <w:r>
        <w:t>This is achieved in The Bank of New York Mellon SANV the European Bank Risk Pillar 3 Disclosure December 2023 x 31 accordance, where applicable, with the ICAAP governance, the European Bank Stress Testing policies and framework whilst taking into consideration the Groups over-arching capital, profit and strategic plans.</w:t>
      </w:r>
    </w:p>
    <w:p w14:paraId="677247A4" w14:textId="77777777" w:rsidR="00F032C3" w:rsidRDefault="00000000">
      <w:r>
        <w:lastRenderedPageBreak/>
        <w:t>ESG Council The European Bank has established an ESG Council in charge of advising the ExCo in ensuring climate related, social and environmental risks and opportunities are fully identified, understood and incorporated into management decisions and strategy definition.</w:t>
      </w:r>
    </w:p>
    <w:p w14:paraId="2633568A" w14:textId="77777777" w:rsidR="00F032C3" w:rsidRDefault="00000000">
      <w:r>
        <w:t>The BEMCo is responsible for overseeing, informing, supporting and involving other local bodies, as well as ensuring employee engagement within the Brussels location and the European Bank in Belgium.</w:t>
      </w:r>
    </w:p>
    <w:p w14:paraId="1A8BBE8E" w14:textId="77777777" w:rsidR="00F032C3" w:rsidRDefault="00000000">
      <w:r>
        <w:t>The BRC shall consider a variety of issues including, potential or actual conflicts of interest or sensitive business practices, errors and service delivery failures, especially with impact to clients andor to legal and regulatory obligations.</w:t>
      </w:r>
    </w:p>
    <w:p w14:paraId="7E1A1FEE" w14:textId="77777777" w:rsidR="00F032C3" w:rsidRDefault="00000000">
      <w:r>
        <w:t>From the perspective of the European Bank, as with other regulated banking entities, a strong risk governance and a robust risk culture are achieved through close and continuous co-operation between business lines, risk and compliance teams and internal audit.</w:t>
      </w:r>
    </w:p>
    <w:p w14:paraId="4B47DF34" w14:textId="77777777" w:rsidR="00F032C3" w:rsidRDefault="00000000">
      <w:r>
        <w:t>The Board owns and defines the RAS, is responsible for annually reviewing it and approves any amendment.</w:t>
      </w:r>
    </w:p>
    <w:p w14:paraId="1F4A9D64" w14:textId="77777777" w:rsidR="00F032C3" w:rsidRDefault="00000000">
      <w:r>
        <w:t>The Board has sought to establish a clear set of tolerances for its business and has articulated its appetite through a series of statements and metrics.</w:t>
      </w:r>
    </w:p>
    <w:p w14:paraId="0C84D475" w14:textId="77777777" w:rsidR="00F032C3" w:rsidRDefault="00000000">
      <w:r>
        <w:t>The ILAAP process reflects a strong liquidity risk management culture and efficient governance and risk framework regime in place within the firm.</w:t>
      </w:r>
    </w:p>
    <w:p w14:paraId="5ED738C9" w14:textId="77777777" w:rsidR="00F032C3" w:rsidRDefault="00000000">
      <w:r>
        <w:t>If the impact is deemed potentially material, the European Bank's BAC delegate will be responsible for contacting Risk Management in order to obtain a Pillar 2 assessment.</w:t>
      </w:r>
    </w:p>
    <w:p w14:paraId="01AA5E46" w14:textId="77777777" w:rsidR="00F032C3" w:rsidRDefault="00000000">
      <w:r>
        <w:t>This ensures that although the RCSA process is owned by the line of business in conjunction with the business risk managers, the RMC has oversight of the key exception items relating to the European Bank on an ongoing basis.</w:t>
      </w:r>
    </w:p>
    <w:p w14:paraId="7FEF6271" w14:textId="77777777" w:rsidR="00F032C3" w:rsidRDefault="00000000">
      <w:r>
        <w:t>Large exposure process Compliance with the large exposure including Shadow Banking regulatory requirements is controlled daily by the Large Exposure function in the European Bank.</w:t>
      </w:r>
    </w:p>
    <w:p w14:paraId="1DA0800A" w14:textId="77777777" w:rsidR="00F032C3" w:rsidRDefault="00000000">
      <w:r>
        <w:t>Interest rate risk monitoring process The interest rate sensitivities are monitored against the risk appetite limit, as well as the compliance with regulatory guidance.</w:t>
      </w:r>
    </w:p>
    <w:p w14:paraId="315CCFBB" w14:textId="77777777" w:rsidR="00F032C3" w:rsidRDefault="00000000">
      <w:r>
        <w:t>Risk management is responsible for supporting the business lines in achieving the following, identifying and documenting all material risks, assessing the effectiveness of control design, and ensuring that control gaps are closed.</w:t>
      </w:r>
    </w:p>
    <w:p w14:paraId="509A1971" w14:textId="77777777" w:rsidR="00F032C3" w:rsidRDefault="00000000">
      <w:r>
        <w:t>That work begins with managing our own operations for the long term and extends to helping our clients to meet their own sustainability and community goals through the products and solutions we offer.</w:t>
      </w:r>
    </w:p>
    <w:p w14:paraId="42CEDC17" w14:textId="77777777" w:rsidR="00F032C3" w:rsidRDefault="00000000">
      <w:r>
        <w:lastRenderedPageBreak/>
        <w:t>In this report, we illustrate progress made to date while acknowledging actions still needed to enhance our efforts and impact in the fight against climate change and manage environmental-related risks.</w:t>
      </w:r>
    </w:p>
    <w:p w14:paraId="14DE489B" w14:textId="77777777" w:rsidR="00F032C3" w:rsidRDefault="00000000">
      <w:r>
        <w:t>Audit Committee, oversees sustainability reporting for accuracy, completeness, and reliability of-ESG related disclosures.</w:t>
      </w:r>
    </w:p>
    <w:p w14:paraId="2E942B84" w14:textId="77777777" w:rsidR="00F032C3" w:rsidRDefault="00000000">
      <w:r>
        <w:t>Risks associated with climate change and environmental issues are managed through a robust internal risk governance approach.</w:t>
      </w:r>
    </w:p>
    <w:p w14:paraId="05562C31" w14:textId="77777777" w:rsidR="00F032C3" w:rsidRDefault="00000000">
      <w:r>
        <w:t>The RC is responsible for ensuring that climate and environmental related risks are duly considered as a risk driver in risk reviews and assessments through risk reports received at RC and considered in decision making.</w:t>
      </w:r>
    </w:p>
    <w:p w14:paraId="55EA00FB" w14:textId="77777777" w:rsidR="00F032C3" w:rsidRDefault="00000000">
      <w:r>
        <w:t>Opportunities for more refined metrics and improvements of the Climate &amp; Environmental Sustainability dashboard will be considered in 2024 to further enhance oversight, monitoring and management of climate-related and environmental risks.</w:t>
      </w:r>
    </w:p>
    <w:p w14:paraId="0D348B55" w14:textId="77777777" w:rsidR="00F032C3" w:rsidRDefault="00000000">
      <w:r>
        <w:t>The dashboard supports management understanding of potential vulnerabilities, developing action plans to mitigate identified risks and identification of potential opportunities.</w:t>
      </w:r>
    </w:p>
    <w:p w14:paraId="33D1EFCE" w14:textId="77777777" w:rsidR="00F032C3" w:rsidRDefault="00000000">
      <w:r>
        <w:t>The European Bank has also adopted a range of policy updates cascaded from the BNYM corporate level that embed Climate andor ESG considerations into businessas-usual risk management.</w:t>
      </w:r>
    </w:p>
    <w:p w14:paraId="17E986F5" w14:textId="77777777" w:rsidR="00F032C3" w:rsidRDefault="00000000">
      <w:r>
        <w:t>To deliver on this strategy, members of the Board have undertaken climate-risk training to ensure that they are sufficiently and appropriately equipped to have effective oversight of climate and environmental related risks and opportunities.</w:t>
      </w:r>
    </w:p>
    <w:p w14:paraId="74EB25AA" w14:textId="77777777" w:rsidR="00F032C3" w:rsidRDefault="00000000">
      <w:r>
        <w:t>In 2023, Board Members also received a training on the Corporate Social responsibility Directive with focus on the Double Materiality Assessment.</w:t>
      </w:r>
    </w:p>
    <w:p w14:paraId="7C10E197" w14:textId="77777777" w:rsidR="00F032C3" w:rsidRDefault="00000000">
      <w:r>
        <w:t>Dedicated 1st, 2nd, and 3rd LOD responsibilities are in place to provide support in developing the European Banks climate and environmental strategy, assess and manage climate and environmental risks and identify opportunities where relevant.</w:t>
      </w:r>
    </w:p>
    <w:p w14:paraId="2EAB6135" w14:textId="77777777" w:rsidR="00F032C3" w:rsidRDefault="00000000">
      <w:r>
        <w:t>In 2023, to raise awareness of climate and environmental related risks when undertaking new business, an additional training module was distributed more broadly through mandatory learning and development channels to the European Bank staff in-scope, in support of newly implemented enhancements to client due diligence processes.</w:t>
      </w:r>
    </w:p>
    <w:p w14:paraId="7FBCF1C3" w14:textId="77777777" w:rsidR="00F032C3" w:rsidRDefault="00000000">
      <w:r>
        <w:t>As part of our ongoing efforts to strengthen our understanding and implementation of the Corporate Social Responsibility Directive 'CSRD' in January 2024 the ESG Council received a comprehensive training session on the EU Sustainable Finance Action Plan, the Legal basis of CSRD, the implication for the Management Bodies and on the double materiality assessment.</w:t>
      </w:r>
    </w:p>
    <w:p w14:paraId="0E93B8EF" w14:textId="77777777" w:rsidR="00F032C3" w:rsidRDefault="00000000">
      <w:r>
        <w:lastRenderedPageBreak/>
        <w:t>To reinforce embeddedness of climate and environmental related considerations across the European Bank's businesses and lead implementation of ESG activities, two new ESG roles were created, reporting into the Chief Operating Officer.</w:t>
      </w:r>
    </w:p>
    <w:p w14:paraId="542A5C4D" w14:textId="77777777" w:rsidR="00F032C3" w:rsidRDefault="00000000">
      <w:r>
        <w:t>To support embedding consideration of climate and environmental sustainability risks and opportunities into business operations and decision making, the Remuneration Committee in 2022 approved a Climate and Environmental Sustainability goal for the Executive Committee, members of the ESG Council and key individuals with ESG responsibilities within the European Bank.</w:t>
      </w:r>
    </w:p>
    <w:p w14:paraId="7823C7A4" w14:textId="77777777" w:rsidR="00F032C3" w:rsidRDefault="00000000">
      <w:r>
        <w:t>Leveraging the Enterprise process, the European Bank implemented a robust approach to identification of climate-related and environmental risks that may impact its business.</w:t>
      </w:r>
    </w:p>
    <w:p w14:paraId="0FAEDE56" w14:textId="77777777" w:rsidR="00F032C3" w:rsidRDefault="00000000">
      <w:r>
        <w:t>The quarterly climate and environmental risk report articulates climate and environmental-related sources that may impact the financial and non-financial risk profile.</w:t>
      </w:r>
    </w:p>
    <w:p w14:paraId="4294312E" w14:textId="77777777" w:rsidR="00F032C3" w:rsidRDefault="00000000">
      <w:r>
        <w:t>These will include fiscal policy, legislation, technological development, and investor and consumer sentiment changes that may impact the strategic, financial, legal, operational, and reputational risks of the firm.</w:t>
      </w:r>
    </w:p>
    <w:p w14:paraId="4A2F846E" w14:textId="77777777" w:rsidR="00F032C3" w:rsidRDefault="00000000">
      <w:r>
        <w:t>Based on this assessment, management have determined that climate and environmental risk drivers are not materially impactful to the European Bank's risk profile at the current time, while recognising that this may change in future.</w:t>
      </w:r>
    </w:p>
    <w:p w14:paraId="1BF85E2F" w14:textId="77777777" w:rsidR="00F032C3" w:rsidRDefault="00000000">
      <w:r>
        <w:t>In terms of opportunities, the European Bank recognises that as a provider of financial services, it has a role to play by ensuring products and services developed help clients integrate climate and environmental considerations into their activities.</w:t>
      </w:r>
    </w:p>
    <w:p w14:paraId="2241EBF8" w14:textId="77777777" w:rsidR="00F032C3" w:rsidRDefault="00000000">
      <w:r>
        <w:t>Ongoing measurement and reporting will continue to be used to support management discussions and support the development of the European Bank's strategy with respect to climate change and environmental sustainability.</w:t>
      </w:r>
    </w:p>
    <w:p w14:paraId="56065A17" w14:textId="77777777" w:rsidR="00F032C3" w:rsidRDefault="00000000">
      <w:r>
        <w:t>Impact of climate and environmental related risks and opportunities on the European Banks businesses, strategy, and financial planning, The European Bank has considered climate and environmental-related impacts across all risk categories and processes to support ongoing monitoring and decision making, including decisions relating to ongoing strategy.</w:t>
      </w:r>
    </w:p>
    <w:p w14:paraId="4CBB0BC2" w14:textId="77777777" w:rsidR="00F032C3" w:rsidRDefault="00000000">
      <w:r>
        <w:t>Several processes have been developed that apply enhanced due diligence and governance to activities that may have climate-risk implications.</w:t>
      </w:r>
    </w:p>
    <w:p w14:paraId="3EBEDE6E" w14:textId="77777777" w:rsidR="00F032C3" w:rsidRDefault="00000000">
      <w:r>
        <w:t>A detailed and dedicated risk management approach for the development of new products and operational processes, to ensure that transitional impacts from changes in client or market expectations are factored into the development process.</w:t>
      </w:r>
    </w:p>
    <w:p w14:paraId="3B67EA58" w14:textId="77777777" w:rsidR="00F032C3" w:rsidRDefault="00000000">
      <w:r>
        <w:lastRenderedPageBreak/>
        <w:t>The analysis of climate change scenarios on a longer horizon demonstrated that the European Bank is resilient on the longer term based on the scenarios characteristics and implying different level of transition policies to reduce physical risk.</w:t>
      </w:r>
    </w:p>
    <w:p w14:paraId="403C394F" w14:textId="763E900B" w:rsidR="00F032C3" w:rsidRDefault="00000000">
      <w:r>
        <w:t>The European Bank will continue to enhance the climate stress testing approach and run periodic assessments to inform strategic decision making and consider appropriate opportunities to pursue</w:t>
      </w:r>
      <w:r w:rsidR="00D64F2E">
        <w:t xml:space="preserve"> b</w:t>
      </w:r>
      <w:r>
        <w:t>y using shorter-term scenarios.</w:t>
      </w:r>
    </w:p>
    <w:p w14:paraId="616F4F5C" w14:textId="77777777" w:rsidR="00F032C3" w:rsidRDefault="00000000">
      <w:r>
        <w:t>Further details about climate and environmental-related risks and opportunities identified and associated decisions and actions will be disclosed as we further mature our approach.</w:t>
      </w:r>
    </w:p>
    <w:p w14:paraId="06445717" w14:textId="77777777" w:rsidR="00F032C3" w:rsidRDefault="00000000">
      <w:r>
        <w:t>In view of these climate and environmental related risks as well as identified business opportunities, the Board has approved a sustainability strategy aiming at integrating sustainability considerations into business operations and decision-making processes.</w:t>
      </w:r>
    </w:p>
    <w:p w14:paraId="06CDB898" w14:textId="77777777" w:rsidR="00F032C3" w:rsidRDefault="00000000">
      <w:r>
        <w:t>Please refer to the Metrics and Targets section and to on the Groups 2023 Sustainability Report for additional details.</w:t>
      </w:r>
    </w:p>
    <w:p w14:paraId="1D2F4B47" w14:textId="74EC55A6" w:rsidR="00F032C3" w:rsidRDefault="00000000">
      <w:r>
        <w:t>Using our reporting tools, clients can track their portfolio investments based on environmental, social and gov</w:t>
      </w:r>
      <w:r w:rsidR="006E469E">
        <w:t>e</w:t>
      </w:r>
      <w:r>
        <w:t>rnance issues, as well as other metrics such as the United Nations Global Compact UNGC principles.</w:t>
      </w:r>
    </w:p>
    <w:p w14:paraId="3A67B524" w14:textId="77777777" w:rsidR="00F032C3" w:rsidRDefault="00000000">
      <w:r>
        <w:t>The output of these assessments is incorporated in the strategy setting process and supports management in considering climate and environmental risks in strategy discussions.</w:t>
      </w:r>
    </w:p>
    <w:p w14:paraId="379CF175" w14:textId="77777777" w:rsidR="00F032C3" w:rsidRDefault="00000000">
      <w:r>
        <w:t>Analysis undertaken as part of firm wide stress testing used within the European Banks 2023 Internal Capital Adequacy Assessment Process illustrated an immaterial risk from climate to the European Bank and therefore the overall business strategy remains unchanged.</w:t>
      </w:r>
    </w:p>
    <w:p w14:paraId="1AE7E501" w14:textId="77777777" w:rsidR="00F032C3" w:rsidRDefault="00000000">
      <w:r>
        <w:t>Further details about climate-related risks and opportunities identified and associated decisions and actions will be disclosed as we further mature our approach.</w:t>
      </w:r>
    </w:p>
    <w:p w14:paraId="4D49267D" w14:textId="77777777" w:rsidR="00F032C3" w:rsidRDefault="00000000">
      <w:r>
        <w:t>Climate change pathwaysscenarios will be agreed for the 2024 ICAAP and utilised in the business model scenario analysis for the European Bank's 2024 strategy.</w:t>
      </w:r>
    </w:p>
    <w:p w14:paraId="0A565C0F" w14:textId="77777777" w:rsidR="00F032C3" w:rsidRDefault="00000000">
      <w:r>
        <w:t>The first line of defense is responsible for identifying and mitigating all risks, including climate risks.</w:t>
      </w:r>
    </w:p>
    <w:p w14:paraId="2E166C57" w14:textId="77777777" w:rsidR="00F032C3" w:rsidRDefault="00000000">
      <w:r>
        <w:t>As the second line of defense, the Risk &amp; Compliance function is responsible for supporting, reviewing and challenging the first line and has responsibility for the design and implementation of the global risk framework.</w:t>
      </w:r>
    </w:p>
    <w:p w14:paraId="2D47049F" w14:textId="77777777" w:rsidR="00F032C3" w:rsidRDefault="00000000">
      <w:r>
        <w:t>Various first line of defense governance committees and structures are in place to manage climate-related risks, and quarterly reporting is provided to senior management to support the governance process.</w:t>
      </w:r>
    </w:p>
    <w:p w14:paraId="18891863" w14:textId="77777777" w:rsidR="00F032C3" w:rsidRDefault="00000000">
      <w:r>
        <w:lastRenderedPageBreak/>
        <w:t>These time horizons are defined as, Short term 0-3 years risks that are observed to be present now and within the immediate planning horizon Medium term 4-10 years Long term 10+ years We recognize that time horizons noted above for the assessment of climate and environmental-related risk are much longer than accepted industry standards for risk modelling.</w:t>
      </w:r>
    </w:p>
    <w:p w14:paraId="5E795286" w14:textId="77777777" w:rsidR="00F032C3" w:rsidRDefault="00000000">
      <w:r>
        <w:t>We have developed a suite of climate and environmental-specific risk assessment tools and processes to enable the identification, assessment and management of climate-related risks that incorporate a longer-term view of risk.</w:t>
      </w:r>
    </w:p>
    <w:p w14:paraId="6F5FC03C" w14:textId="77777777" w:rsidR="00F032C3" w:rsidRDefault="00000000">
      <w:r>
        <w:t>Processes for identifying and assessing climate and environmental-related risks Leveraging the BNY Mellon risk identification process, the European Banks approach is to perform environmental and climate-related risk assessments by lines of business complementing risk type assessments and considering primary potential transition and physical transmission channels.</w:t>
      </w:r>
    </w:p>
    <w:p w14:paraId="475EAAAB" w14:textId="77777777" w:rsidR="00F032C3" w:rsidRDefault="00000000">
      <w:r>
        <w:t>In 2023, BNY Mellon further developed a climate and environmental risk driver assessment, adopted by the European Bank, to enhance the structured approach to identifying and assessing impact from climate and the environment.</w:t>
      </w:r>
    </w:p>
    <w:p w14:paraId="15C6391E" w14:textId="77777777" w:rsidR="00F032C3" w:rsidRDefault="00000000">
      <w:r>
        <w:t>The climate and environmental risk driver assessment requires each Line of Business 'LoB' to perform the following, Determine if any business activity could be impacted by climate and environmental-driven risks.</w:t>
      </w:r>
    </w:p>
    <w:p w14:paraId="7089E2F3" w14:textId="77777777" w:rsidR="00F032C3" w:rsidRDefault="00000000">
      <w:r>
        <w:t>LoBs and Legal Entities this is fully applicable to the European Bank are also expected to perform the assessment with sufficient granularity to determine where additional mitigation andor controls are required to address any of the identified climate and environmental-driven risks.</w:t>
      </w:r>
    </w:p>
    <w:p w14:paraId="74D4872D" w14:textId="77777777" w:rsidR="00F032C3" w:rsidRDefault="00000000">
      <w:r>
        <w:t>Assessment and Management of Climate and Environmental Risks, The development of quantitative tools to understand potential areas of vulnerability supports the first and second lines of defense in developing appropriate reporting and action plans to mitigate identified risks.</w:t>
      </w:r>
    </w:p>
    <w:p w14:paraId="1852AFC7" w14:textId="77777777" w:rsidR="00F032C3" w:rsidRDefault="00000000">
      <w:r>
        <w:t>Strategic andor business risks may also arise from the acceptance of new businesses, the introduction or modification of products, strategic finance and risk management decisions, business process changes, complex transactions, acquisitions divestitures joint ventures and major capital expenditures investments and deviations from revenue andor expense targets.</w:t>
      </w:r>
    </w:p>
    <w:p w14:paraId="372E2475" w14:textId="77777777" w:rsidR="00F032C3" w:rsidRDefault="00000000">
      <w:r>
        <w:t>Impact on operational resilience through physical events, in turn impacting ability to deliver on strategic objectives Ability to deliver on existing strategy and maintain profitability as part of climate transition.</w:t>
      </w:r>
    </w:p>
    <w:p w14:paraId="00397B11" w14:textId="77777777" w:rsidR="00F032C3" w:rsidRDefault="00000000">
      <w:r>
        <w:lastRenderedPageBreak/>
        <w:t>ESG Business Appetite Framework new client assessment approach to capture clients most likely to have an impact on, or be impacted by, climaterelated transition and physical risks and broader ESG factors.</w:t>
      </w:r>
    </w:p>
    <w:p w14:paraId="3832F77E" w14:textId="77777777" w:rsidR="00F032C3" w:rsidRDefault="00000000">
      <w:r>
        <w:t>Assessment of potential liquidity risks are considered as part of processes supporting risk identification and the development of liquidity stress tests.</w:t>
      </w:r>
    </w:p>
    <w:p w14:paraId="164D7F15" w14:textId="77777777" w:rsidR="00F032C3" w:rsidRDefault="00000000">
      <w:r>
        <w:t>Operational risk includes compliance, regulatory, legal, third party and technology risks, amongst others.</w:t>
      </w:r>
    </w:p>
    <w:p w14:paraId="3611167B" w14:textId="77777777" w:rsidR="00F032C3" w:rsidRDefault="00000000">
      <w:r>
        <w:t>Compliance regulatory change management process is in place, tasked with ensuring that legal and regulatory requirements, including emerging climate-related requirements, are identified and acted upon.</w:t>
      </w:r>
    </w:p>
    <w:p w14:paraId="48983BF5" w14:textId="77777777" w:rsidR="00F032C3" w:rsidRDefault="00000000">
      <w:r>
        <w:t>The climate sensitivity key risk indicator is reported to the BNYM SANV Credit Risk Oversight Committee on a monthly basis Value and percentage of in scope credit portfolio in high and moderate carbon intensive sectors geographies.</w:t>
      </w:r>
    </w:p>
    <w:p w14:paraId="13410697" w14:textId="77777777" w:rsidR="00F032C3" w:rsidRDefault="00000000">
      <w:r>
        <w:t>In general, the current approach to setting of risk appetite does not involve the setting of separate limits and associated thresholds against any risk drivers, including climate risk.</w:t>
      </w:r>
    </w:p>
    <w:p w14:paraId="40A68780" w14:textId="77777777" w:rsidR="00F032C3" w:rsidRDefault="00000000">
      <w:r>
        <w:t>As a potential cause of adverse impacts, a climate-related event could increase the chance of a limit breach across any risk category, whether financial or non-financial.</w:t>
      </w:r>
    </w:p>
    <w:p w14:paraId="4FA91FA0" w14:textId="77777777" w:rsidR="00F032C3" w:rsidRDefault="00000000">
      <w:r>
        <w:t>Each of these policies establishes a requirement for climate risk to be considered within all applicable risk management processes, which may include those relating to risk identification,risk assessment and quantification.</w:t>
      </w:r>
    </w:p>
    <w:p w14:paraId="262F2D12" w14:textId="77777777" w:rsidR="00F032C3" w:rsidRDefault="00000000">
      <w:r>
        <w:t>Due Diligence In addition to identifying specific climate and environmental risk-related vulnerabilities and ongoing monitoring of exposures in these categories, several processes have been developed that apply enhanced due diligence and governance to activities that may have climate and environmental-risk implications.</w:t>
      </w:r>
    </w:p>
    <w:p w14:paraId="7AE0CD3F" w14:textId="77777777" w:rsidR="00F032C3" w:rsidRDefault="00000000">
      <w:r>
        <w:t>These include, as mentioned above, Third Party Risk, New Client ESG Risk Assessment as well as New Product and Process Approvals, Third-Party Risk Given critical dependencies on third-parties3, it is necessary to understand how climate and environmental-related risks manifest to inform relevant risk owners and identify opportunities to mitigate.</w:t>
      </w:r>
    </w:p>
    <w:p w14:paraId="1D2EF58E" w14:textId="77777777" w:rsidR="00F032C3" w:rsidRDefault="00000000">
      <w:r>
        <w:t>These are focused on negative ESG-related information, association with certain activities assessed to be higher risk, and other assessments, including, for example, client readiness for climate-related transitions.</w:t>
      </w:r>
    </w:p>
    <w:p w14:paraId="2D8F123E" w14:textId="77777777" w:rsidR="00F032C3" w:rsidRDefault="00000000">
      <w:r>
        <w:t>Using external data sources, coupled with internal governance and expertise, the new client ESG-driven assessment approach provides a dedicated screening mechanism for new clients intending to minimize potential strategic and reputational risks.</w:t>
      </w:r>
    </w:p>
    <w:p w14:paraId="64BB9D34" w14:textId="77777777" w:rsidR="00F032C3" w:rsidRDefault="00000000">
      <w:r>
        <w:lastRenderedPageBreak/>
        <w:t>Within these processes, climate-related risks are specifically considered as part of the development process to ensure that transitional impacts from changes in client or market expectations are factored into the development process.</w:t>
      </w:r>
    </w:p>
    <w:p w14:paraId="0C8AB513" w14:textId="77777777" w:rsidR="00F032C3" w:rsidRDefault="00000000">
      <w:r>
        <w:t>Integrating climate-related risk processes into overall risk management To support the implementation of Climate and environmental-related risk framework and embed governance oversight responsibilities, ongoing education is targeted to various groups across all three lines of defense in the enterprise.</w:t>
      </w:r>
    </w:p>
    <w:p w14:paraId="405163EF" w14:textId="77777777" w:rsidR="00F032C3" w:rsidRDefault="00000000">
      <w:r>
        <w:t>The training encourages participants to lead by example and set the tone to support a culture that institutionalizes appropriate climate risk management behavior.</w:t>
      </w:r>
    </w:p>
    <w:p w14:paraId="0D738CFD" w14:textId="77777777" w:rsidR="00F032C3" w:rsidRDefault="00000000">
      <w:r>
        <w:t>In addition, to reinforce the embeddedness of climate and environmental related considerations across the European Bank's businesses and to lead the implementation of ESG activities the Remuneration Committee approved a Climate and Environmental Sustainability goal for the Executive Committee and key individuals within the European Bank.</w:t>
      </w:r>
    </w:p>
    <w:p w14:paraId="24F46C20" w14:textId="77777777" w:rsidR="00F032C3" w:rsidRDefault="00000000">
      <w:r>
        <w:t>Metrics and targets Metrics used by the organisation to assess climate and environmental-related risks and opportunities As described in section Risk Management, monitoring and reporting are primarily focused on risks that could emerge based on identification of on-balance sheet exposures with a potentially high risk to physical and transitional risks across time horizon, in line with analysis and metrics produced at Group Level.</w:t>
      </w:r>
    </w:p>
    <w:p w14:paraId="4FE4D387" w14:textId="77777777" w:rsidR="00F032C3" w:rsidRDefault="00000000">
      <w:r>
        <w:t>We define higher risk sectors4 based on the potential impact on carbon emissions, climate change vulnerability and carbon footprint from business activity.</w:t>
      </w:r>
    </w:p>
    <w:p w14:paraId="1893BBF6" w14:textId="77777777" w:rsidR="00F032C3" w:rsidRDefault="00000000">
      <w:r>
        <w:t>We continue to enhance data, measurement capabilities and assessment methodologies to improve climate risk and environmental reporting.</w:t>
      </w:r>
    </w:p>
    <w:p w14:paraId="769E7EA4" w14:textId="77777777" w:rsidR="00F032C3" w:rsidRDefault="00000000">
      <w:r>
        <w:t>Pollution &amp; Waste includes an assessment of the following Environmental risks, Electronic Waste, Packaging Material &amp; Waste, Toxic Emissions &amp; Waste.</w:t>
      </w:r>
    </w:p>
    <w:p w14:paraId="396D5536" w14:textId="77777777" w:rsidR="00F032C3" w:rsidRDefault="00000000">
      <w:r>
        <w:t>Our vendor due diligence and risk management processes continue to be enhanced to capture climate and broader ESG related implications.</w:t>
      </w:r>
    </w:p>
    <w:p w14:paraId="326AC738" w14:textId="77777777" w:rsidR="00F032C3" w:rsidRDefault="00000000">
      <w:r>
        <w:t>No dedicated climate related scenarios material to liquidity risk have been identified.</w:t>
      </w:r>
    </w:p>
    <w:p w14:paraId="45697793" w14:textId="77777777" w:rsidR="00F032C3" w:rsidRDefault="00000000">
      <w:r>
        <w:t>For all other risk types, the current approach to the setting of the risk appetite does not involve the setting of limits and associated thresholds against any risk drivers, including climate &amp; environmental risk.</w:t>
      </w:r>
    </w:p>
    <w:p w14:paraId="7A1D2022" w14:textId="77777777" w:rsidR="00F032C3" w:rsidRDefault="00000000">
      <w:r>
        <w:t>As a potential cause of adverse events, a climate or environmental related event could lead to an increase in risk that may increase the chance of a limit breach across any risk category, financial or non-financial.</w:t>
      </w:r>
    </w:p>
    <w:p w14:paraId="4A66C178" w14:textId="77777777" w:rsidR="00F032C3" w:rsidRDefault="00000000">
      <w:r>
        <w:lastRenderedPageBreak/>
        <w:t>As a result, limits are in place at the risk category level and capture the impacts of all risk drivers, including climate &amp; environmental risks.</w:t>
      </w:r>
    </w:p>
    <w:p w14:paraId="631901DE" w14:textId="77777777" w:rsidR="00F032C3" w:rsidRDefault="00000000">
      <w:r>
        <w:t>Measuring and reporting on our operational emissions on an annual basis is critical to managing progress toward our emission reduction targets.</w:t>
      </w:r>
    </w:p>
    <w:p w14:paraId="5169835B" w14:textId="77777777" w:rsidR="00F032C3" w:rsidRDefault="00000000">
      <w:r>
        <w:t>BNY Mellons three-part approach for achieving carbon neutrality includes, , reducing energy use and related GHG emissions, procuring renewable electricity.</w:t>
      </w:r>
    </w:p>
    <w:p w14:paraId="57E10E80" w14:textId="77777777" w:rsidR="00F032C3" w:rsidRDefault="00000000">
      <w:r>
        <w:t>To compensate for operational emissions that cannot be eliminated through energy efficiency and renewable electricity, BNY Mellon purchases carbon offsets through clean energy financing and carbon sequestration initiatives.</w:t>
      </w:r>
    </w:p>
    <w:p w14:paraId="6FF63989" w14:textId="77777777" w:rsidR="00F032C3" w:rsidRDefault="00000000">
      <w:r>
        <w:t>An overview of the Corporate Goals and how the European Bank contributes to the achievement of those targets is available below, Corporate KPI's European Bank's contribution Reduce Scope 1 and Scope 2 GHG emissions by 20% from a 2018 base year, including data centers, in line with methodology developed by Science-Based Targets initiative SBTi The European Bank 2023 estimated Scope 1, Scope 2 and Scope 3 Category 6 emissions are reported above.</w:t>
      </w:r>
    </w:p>
    <w:p w14:paraId="540A3255" w14:textId="77777777" w:rsidR="00F032C3" w:rsidRDefault="00000000">
      <w:r>
        <w:t>As a component of BNY Mellons corporate sustainability initiatives, we enable a working environment that is more productive, collaborative, and supports client needs.</w:t>
      </w:r>
    </w:p>
    <w:p w14:paraId="2639C092" w14:textId="77777777" w:rsidR="00F032C3" w:rsidRDefault="00000000">
      <w:r>
        <w:t>In 2023 the European Bank, via its Shadow ExCo program and its Environmental Sustainability Ambassadors suggested the review of the global Corporate Travel and Expense Policy, with respect to travel options Flights vs Trains.</w:t>
      </w:r>
    </w:p>
    <w:p w14:paraId="109D64C7" w14:textId="77777777" w:rsidR="00F032C3" w:rsidRDefault="00000000">
      <w:r>
        <w:t>Maintain carbon neutrality commitment For Scope 1 and Scope 2 GHG emissions, including our data centers, as well as Scope 3 business travel emissions European Bank's estimated Scope 1 &amp; Scope 2 are reported above.</w:t>
      </w:r>
    </w:p>
    <w:p w14:paraId="012FE191" w14:textId="77777777" w:rsidR="00F032C3" w:rsidRDefault="00000000">
      <w:r>
        <w:t>The following initiatives contributes to the achievement to this goal, Real Estate, Environmental Sustainability considerations as part of our due-diligence process for evaluating potential new offices space.</w:t>
      </w:r>
    </w:p>
    <w:p w14:paraId="24ED1ECA" w14:textId="77777777" w:rsidR="00F032C3" w:rsidRDefault="00000000">
      <w:r>
        <w:t>Through this channel, employees are engaged in conversations and actions related to the impact of human activity on environmental sustainability.</w:t>
      </w:r>
    </w:p>
    <w:p w14:paraId="37C2FE2E" w14:textId="77777777" w:rsidR="00F032C3" w:rsidRDefault="00000000">
      <w:r>
        <w:t>More information on BNY Mellon targets and achievements is available in the groups 2023 Sustainability Report.</w:t>
      </w:r>
    </w:p>
    <w:p w14:paraId="4E9E0509" w14:textId="77777777" w:rsidR="00F032C3" w:rsidRDefault="00000000">
      <w:r>
        <w:t>In 2023, BNY Mellon measured its financed emissions footprint for the first time using the latest methodology and guidance from the Partnership for Carbon Accounting Financials and identified potential emissions reduction strategies that are aligned with business objectives and client needs.</w:t>
      </w:r>
    </w:p>
    <w:p w14:paraId="1F341618" w14:textId="77777777" w:rsidR="00F032C3" w:rsidRDefault="00000000">
      <w:r>
        <w:lastRenderedPageBreak/>
        <w:t>This approach reflects BNY Mellons commitment to prioritize resiliency and sustainability across our business and operations and offer solutions to help our clients meet their own sustainability goals.</w:t>
      </w:r>
    </w:p>
    <w:p w14:paraId="2C4058CF" w14:textId="77777777" w:rsidR="00F032C3" w:rsidRDefault="00000000">
      <w:r>
        <w:t>More information about BNY Mellons approach to financed emissions will be available in the groups 2023 Sustainability Report.</w:t>
      </w:r>
    </w:p>
    <w:p w14:paraId="3B9BB89E" w14:textId="77777777" w:rsidR="00F032C3" w:rsidRDefault="00000000">
      <w:r>
        <w:t>Understanding, identifying and managing Credit risk is a central element of BNY Mellons successful risk management approach.</w:t>
      </w:r>
    </w:p>
    <w:p w14:paraId="600660CF" w14:textId="77777777" w:rsidR="00F032C3" w:rsidRDefault="00000000">
      <w:r>
        <w:t>Each legal entity Board will approve both an appropriate Risk Appetite Statement and a legal entity specific Credit Risk Policy which details the roles and responsibilities and levels of delegated authority for each type of activity.</w:t>
      </w:r>
    </w:p>
    <w:p w14:paraId="6FBCD61D" w14:textId="77777777" w:rsidR="00F032C3" w:rsidRDefault="00000000">
      <w:r>
        <w:t>The metrics supporting the management of Credit risk are reported to the Credit Risk Oversight Committee 'CROC', a sub-committee of ExCo.</w:t>
      </w:r>
    </w:p>
    <w:p w14:paraId="3A6F0C79" w14:textId="77777777" w:rsidR="00F032C3" w:rsidRDefault="00000000">
      <w:r>
        <w:t>The outsourcing of credit responsibility to Credit risk is through the Board approved Credit Risk Policy.</w:t>
      </w:r>
    </w:p>
    <w:p w14:paraId="513E540D" w14:textId="77777777" w:rsidR="00F032C3" w:rsidRDefault="00000000">
      <w:r>
        <w:t>In addition, to ensure compliance with the Large Exposures and Shadow Banking Regime, the European Bank's Credit Policy limits credit risk approvals to internally defined thresholds to ensure that exposures are kept below the maximum of 25% of Tier 1 capital, in line with Article 395 as amended by CRR II.</w:t>
      </w:r>
    </w:p>
    <w:p w14:paraId="5F2B453F" w14:textId="77777777" w:rsidR="00F032C3" w:rsidRDefault="00000000">
      <w:r>
        <w:t>The control framework elements addressing market risk limits include the following actions by the Market Risk Management function, monitoring of utilization of market risk limits on a daily basis.</w:t>
      </w:r>
    </w:p>
    <w:p w14:paraId="1A0C6984" w14:textId="77777777" w:rsidR="00F032C3" w:rsidRDefault="00000000">
      <w:r>
        <w:t>BNY Mellon's VaR models are subject to regular validation by the Market Risk Management Group to ensure that they continue to perform as expected and that assumptions used in model development are still appropriate.</w:t>
      </w:r>
    </w:p>
    <w:p w14:paraId="6938A872" w14:textId="77777777" w:rsidR="00F032C3" w:rsidRDefault="00000000">
      <w:r>
        <w:t>Operational risk may arise from errors in transaction processing, breaches of internal control systems and compliance requirements, internal or external fraud, damage to physical assets, andor business disruption due to systems failures or other events.</w:t>
      </w:r>
    </w:p>
    <w:p w14:paraId="3DA2FFCC" w14:textId="77777777" w:rsidR="00F032C3" w:rsidRDefault="00000000">
      <w:r>
        <w:t>Operational risk can also arise from potential legal or regulatory actions as a consequence of non-compliance with regulatory requirements, prudent ethical standards or contractual obligations.</w:t>
      </w:r>
    </w:p>
    <w:p w14:paraId="313BFB8B" w14:textId="77777777" w:rsidR="00F032C3" w:rsidRDefault="00000000">
      <w:r>
        <w:t>These policies and procedures complement each other to ensure that the operational risks of the business are effectively identified, managed, mitigated where possible and reported to the appropriate governance committees on a regular basis.</w:t>
      </w:r>
    </w:p>
    <w:p w14:paraId="652DD371" w14:textId="77777777" w:rsidR="00F032C3" w:rsidRDefault="00000000">
      <w:r>
        <w:t>The LE Risk ID is designed to ensure that the legal entities and Risk Management identify, review and discuss the identified risks on a regular basis.</w:t>
      </w:r>
    </w:p>
    <w:p w14:paraId="2A158EFD" w14:textId="77777777" w:rsidR="00F032C3" w:rsidRDefault="00000000">
      <w:r>
        <w:lastRenderedPageBreak/>
        <w:t>Monitoring and reporting of operational risks occur within the business, Legal Entity and EMEA-region risk oversight functions, as well as decision-making forums such as business risk committees and the RMC.</w:t>
      </w:r>
    </w:p>
    <w:p w14:paraId="181B39D5" w14:textId="77777777" w:rsidR="00F032C3" w:rsidRDefault="00000000">
      <w:r>
        <w:t>Organisation and governance Within the European Bank, business risk partners oversee the activities undertaken in each of the business lines, with oversight from a Legal Entity point of view through the LERO.</w:t>
      </w:r>
    </w:p>
    <w:p w14:paraId="67866383" w14:textId="1BF4F246" w:rsidR="00F032C3" w:rsidRDefault="00000000">
      <w:r>
        <w:t>Business continuity planning BCP</w:t>
      </w:r>
      <w:r w:rsidR="00AE2CCD">
        <w:t>, t</w:t>
      </w:r>
      <w:r>
        <w:t>his function is responsible for the governance of planning for continued service in the face of external events, and utility or system outages or disruptions.</w:t>
      </w:r>
    </w:p>
    <w:p w14:paraId="29A48F34" w14:textId="77777777" w:rsidR="00F032C3" w:rsidRDefault="00000000">
      <w:r>
        <w:t>Third party governance The European Bank uses outsourcing to support its daily business activities.</w:t>
      </w:r>
    </w:p>
    <w:p w14:paraId="291685F9" w14:textId="77777777" w:rsidR="00F032C3" w:rsidRDefault="00000000">
      <w:r>
        <w:t>The European Bank's Board of Directors retains the ultimate responsibility for any outsourcing arrangement and accordingly, ensures the establishment and maintenance of an adequate outsourcing framework covering all key components of the outsourcing life-cycle.</w:t>
      </w:r>
    </w:p>
    <w:p w14:paraId="601E7141" w14:textId="77777777" w:rsidR="00F032C3" w:rsidRDefault="00000000">
      <w:r>
        <w:t>To ensure appropriate oversight of outsourced activities, the BusinessBusiness Partner Groups ensure that all outsourced activities are identified, assessed, approved and appropriately managed throughout the life of the outsourced relationship.</w:t>
      </w:r>
    </w:p>
    <w:p w14:paraId="0AEBB59D" w14:textId="77777777" w:rsidR="00F032C3" w:rsidRDefault="00000000">
      <w:r>
        <w:t>Regulatory and compliance risk management The European Bank Compliance Department is comprised of Compliance Officers based in Brussels, Frankfurt, Amsterdam, Dublin, Luxembourg, Amsterdam, Copenhagen, Wroclaw and Milan.</w:t>
      </w:r>
    </w:p>
    <w:p w14:paraId="0FA30A33" w14:textId="77777777" w:rsidR="00F032C3" w:rsidRDefault="00000000">
      <w:r>
        <w:t>The key responsibilities of the Compliance Department as part of the second line of defence are defined in the Compliance Mission Statement approved by the European Bank Board of Directors.</w:t>
      </w:r>
    </w:p>
    <w:p w14:paraId="7CCB08E9" w14:textId="20E654C7" w:rsidR="00F032C3" w:rsidRDefault="00000000">
      <w:r>
        <w:t>All models have been independently validated and approved for use by the Model Risk Management Group MRMG</w:t>
      </w:r>
      <w:r w:rsidR="005162D6">
        <w:t xml:space="preserve"> </w:t>
      </w:r>
      <w:r>
        <w:t>and are periodically revalidated in accordance with a schedule established by MRMG.</w:t>
      </w:r>
    </w:p>
    <w:p w14:paraId="1421D04D" w14:textId="77777777" w:rsidR="00F032C3" w:rsidRDefault="00000000">
      <w:r>
        <w:t>In 2023 a new European Bank Credit Spread Risk of the Banking Book Policy was implemented and approved by the Board of Directors.</w:t>
      </w:r>
    </w:p>
    <w:p w14:paraId="7040E4F9" w14:textId="77777777" w:rsidR="00F032C3" w:rsidRDefault="00000000">
      <w:r>
        <w:t>This policy has been prepared in accordance with the BNY Mellon Liquidity Policy and regulatory guidelines taking into account the capital structure, risk profile, complexity, activities and size of the European Bank.</w:t>
      </w:r>
    </w:p>
    <w:p w14:paraId="049D1DD8" w14:textId="77777777" w:rsidR="00F032C3" w:rsidRDefault="00000000">
      <w:r>
        <w:t>The liquidity risk management framework, is prepared in accordance with the guidelines set forth by the regulators, corporate standards, and encompasses the unique structure and characteristics of the European Bank.</w:t>
      </w:r>
    </w:p>
    <w:p w14:paraId="1A8EA4D6" w14:textId="77777777" w:rsidR="00F032C3" w:rsidRDefault="00000000">
      <w:r>
        <w:lastRenderedPageBreak/>
        <w:t>The RemCo advises the Board on the remuneration policy after input from the RiskCee.</w:t>
      </w:r>
    </w:p>
    <w:p w14:paraId="6D567683" w14:textId="77777777" w:rsidR="00F032C3" w:rsidRDefault="00000000">
      <w:r>
        <w:t>The RemCo met ten times during 2023 including three joint sessions with the RiskCee, whilst other committees listed in the remuneration policy met a total of nine times during the year.</w:t>
      </w:r>
    </w:p>
    <w:p w14:paraId="290D7873" w14:textId="77777777" w:rsidR="00F032C3" w:rsidRDefault="00000000">
      <w:r>
        <w:t>The aims is to ensure that both fixed and variable compensation are consistent with business and market practice, fixed compensation is sufficient to provide for a fully flexible variable compensation program, and variable compensation is in the form of annual andor long-term incentives, and, where appropriate, granted over equity to align employee remuneration with that of shareholder growth.</w:t>
      </w:r>
    </w:p>
    <w:p w14:paraId="04D2AD2C" w14:textId="77777777" w:rsidR="00F032C3" w:rsidRDefault="00000000">
      <w:r>
        <w:t>This process is built upon the assessment of not only agreed and individualised business goals, but also compulsory risk &amp; compliance goals, diversity &amp; inclusion goals and an assessment on the values &amp; behaviors showcased by the individual.</w:t>
      </w:r>
    </w:p>
    <w:p w14:paraId="214A18D9" w14:textId="2B6B976E" w:rsidR="00F032C3" w:rsidRDefault="00000000">
      <w:r>
        <w:t xml:space="preserve">For selected staff members, the process also includes an assessment of the </w:t>
      </w:r>
      <w:r w:rsidR="00C65906">
        <w:t>individual’s</w:t>
      </w:r>
      <w:r>
        <w:t xml:space="preserve"> performance against an environmentalclimate goal to foster the Banks Environmental, Social, and Governance ESG</w:t>
      </w:r>
      <w:r w:rsidR="00C65906">
        <w:t xml:space="preserve"> </w:t>
      </w:r>
      <w:r>
        <w:t>strategy.</w:t>
      </w:r>
    </w:p>
    <w:p w14:paraId="32A80896" w14:textId="77777777" w:rsidR="00F032C3" w:rsidRDefault="00000000">
      <w:r>
        <w:t>MRTs are also assessed, as all staff members are, against feedback on results-based goals and behaviours BNY Mellons corporate goals include Risk &amp; Compliance, Diversity, Equity &amp; Inclusion, Values &amp; Behaviours.</w:t>
      </w:r>
    </w:p>
    <w:p w14:paraId="735E2E77" w14:textId="4B7F7551" w:rsidR="00F032C3" w:rsidRDefault="00000000">
      <w:r>
        <w:t>For MRTs, the performance related to the risk and control aspects of their job is further detailed and documented through the Risk Culture Summary Scorecard RCSS, for which the European Bank uses a system of metrics related to the main control aspects, compliance &amp; ethics, reputational and operational risk, risk exposures, and audit.</w:t>
      </w:r>
    </w:p>
    <w:p w14:paraId="7F299279" w14:textId="77777777" w:rsidR="00F032C3" w:rsidRDefault="00000000">
      <w:r>
        <w:t>To meet this requirement, the European Bank will therefore deliver incentives to MRTs excluding Executive Directors of the Bank andor MRTs in receipt of a particularly high variable amount for which a 60% deferral of variable remuneration would apply as follows below, Cash 30% Cash Award 30%, Variable remuneration in respect of the applicable performance year that will be paid to the employee in cash in the January payroll the following year, subject to the usual deductions of income tax and applicable social security contributions.</w:t>
      </w:r>
    </w:p>
    <w:p w14:paraId="78E526E9" w14:textId="79CE4F09" w:rsidR="00F032C3" w:rsidRDefault="00000000">
      <w:r>
        <w:t xml:space="preserve">Equity 70% Instant Vest Equity 30%, </w:t>
      </w:r>
      <w:r w:rsidR="00C65906">
        <w:t>v</w:t>
      </w:r>
      <w:r>
        <w:t xml:space="preserve">ariable remuneration in respect of the applicable performance year that will be provided to the employee in BNY Mellon stock which vests on the grant date and is subject to a </w:t>
      </w:r>
      <w:proofErr w:type="gramStart"/>
      <w:r>
        <w:t>1 year</w:t>
      </w:r>
      <w:proofErr w:type="gramEnd"/>
      <w:r>
        <w:t xml:space="preserve"> retention period before it can be sold.</w:t>
      </w:r>
    </w:p>
    <w:p w14:paraId="0A12BBB3" w14:textId="77777777" w:rsidR="00F032C3" w:rsidRDefault="00000000">
      <w:r>
        <w:t xml:space="preserve">The Board may decide to apply forfeiture or malus to unvested deferred awards or clawback to already vested awards in the event of the individual being responsible or taking part in practices that resulted in substantial losses for the Bank, the Bank or the business unit in which the individual works suffering a material downturn in its financial performance, the individual not complying with the applicable standards of professionalism </w:t>
      </w:r>
      <w:r>
        <w:lastRenderedPageBreak/>
        <w:t>and trustworthiness or the individual participating in a special mechanism with the purpose or consequence to facilitate tax fraud by third parties.</w:t>
      </w:r>
    </w:p>
    <w:p w14:paraId="0BB769AB" w14:textId="77777777" w:rsidR="00F032C3" w:rsidRDefault="00000000">
      <w:r>
        <w:t>The European Bank uses models in its risk management framework.</w:t>
      </w:r>
    </w:p>
    <w:p w14:paraId="165D7BF9" w14:textId="77777777" w:rsidR="00F032C3" w:rsidRDefault="00000000">
      <w:r>
        <w:t>All models have been assessed in line with the relevant corporate policies and model risk management framework wherein the individual model is categorised into one of three tiers based on materiality, complexity, and level of reliance.</w:t>
      </w:r>
    </w:p>
    <w:p w14:paraId="1B69B170" w14:textId="77777777" w:rsidR="00F032C3" w:rsidRDefault="00000000">
      <w:r>
        <w:t>BNY Mellon internal audit provides independent reviews of compliance with the corporate model validation policy.</w:t>
      </w:r>
    </w:p>
    <w:p w14:paraId="40C8CF15" w14:textId="77777777" w:rsidR="00F032C3" w:rsidRDefault="00000000">
      <w:r>
        <w:t>The package implements the Basel III reforms in addition to the inclusion of new proposals on sanctions for non-compliance with prudential rules, corporate governance and remuneration.</w:t>
      </w:r>
    </w:p>
    <w:p w14:paraId="72BD37B6" w14:textId="77777777" w:rsidR="00F032C3" w:rsidRDefault="00000000">
      <w:r>
        <w:t>Once the two parties have agreed to the standard terms, they do not have to renegotiate each time a new transaction is entered into Key Risk Indicator 'KRI', Key Risk Indicators are used by business lines to evaluate control effectiveness and residual risk within a business process Master Netting Agreement, An agreement between two counterparties that have multiple contracts with each other that provides for the net settlement of all contracts through a single payment in the event of default or termination of any one contract Pillar 3, The part of Basel III that sets out information banks must disclose about their risks, the amount of capital required to absorb them and their approach to risk management.</w:t>
      </w:r>
    </w:p>
    <w:p w14:paraId="600F2E36" w14:textId="77777777" w:rsidR="00F032C3" w:rsidRDefault="00000000">
      <w:r>
        <w:t>The PRA is a subsidiary of the Bank of England Residual maturity, The period outstanding from the reporting date to the maturity or end date of an exposure Risk appetite, A definition of the types and quantum of risks to which the firm wishes to be exposed Risk and Control Self-Assessment 'RCSA', Risk and Control Self-Assessment is used by business lines to identify risks associated with their key business processes and to complete a detailed assessment of the risk and associated controls Risk Governance Framework, The risk governance framework has been developed in conjunction with BNY Mellon requirements.</w:t>
      </w:r>
    </w:p>
    <w:p w14:paraId="416CB970" w14:textId="2ED91727" w:rsidR="00F032C3" w:rsidRDefault="00000000">
      <w:r>
        <w:t>A reconciliation between the consolidated financial statements prepared in accordance with the applicable accounting framework and the consolidated financial statements prepared in accordance with the requirements on regulatory consolidation.</w:t>
      </w:r>
    </w:p>
    <w:p w14:paraId="0312E624" w14:textId="77777777" w:rsidR="00F032C3" w:rsidRDefault="00000000">
      <w:r>
        <w:t>The company may, by simple decision of the board of directors, establish administrative offices, branches and agencies in Belgium or abroad.</w:t>
      </w:r>
    </w:p>
    <w:p w14:paraId="0713AE80" w14:textId="77777777" w:rsidR="00F032C3" w:rsidRDefault="00000000">
      <w:r>
        <w:t>Any director can give a power of attorney to one colleague, in writing or by any other means of telecommunication having a physical support, to represent himher at a given meeting of the board and to vote in hisher stead.</w:t>
      </w:r>
    </w:p>
    <w:p w14:paraId="191A198E" w14:textId="77777777" w:rsidR="00F032C3" w:rsidRDefault="00000000">
      <w:r>
        <w:lastRenderedPageBreak/>
        <w:t>If not all shares are paid up in the same proportion, the liquidators, before proceeding with any distribution, will take into account this diversity of situation and re-establish the balance by calling funds or by proceeding with a prior distribution.</w:t>
      </w:r>
    </w:p>
    <w:sectPr w:rsidR="00F032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361472272">
    <w:abstractNumId w:val="8"/>
  </w:num>
  <w:num w:numId="2" w16cid:durableId="701519145">
    <w:abstractNumId w:val="6"/>
  </w:num>
  <w:num w:numId="3" w16cid:durableId="903375278">
    <w:abstractNumId w:val="5"/>
  </w:num>
  <w:num w:numId="4" w16cid:durableId="1791894927">
    <w:abstractNumId w:val="4"/>
  </w:num>
  <w:num w:numId="5" w16cid:durableId="2007441042">
    <w:abstractNumId w:val="7"/>
  </w:num>
  <w:num w:numId="6" w16cid:durableId="483208180">
    <w:abstractNumId w:val="3"/>
  </w:num>
  <w:num w:numId="7" w16cid:durableId="436410850">
    <w:abstractNumId w:val="2"/>
  </w:num>
  <w:num w:numId="8" w16cid:durableId="371419679">
    <w:abstractNumId w:val="1"/>
  </w:num>
  <w:num w:numId="9" w16cid:durableId="1138844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5218"/>
    <w:rsid w:val="005162D6"/>
    <w:rsid w:val="00672963"/>
    <w:rsid w:val="006E469E"/>
    <w:rsid w:val="0080314D"/>
    <w:rsid w:val="00A779D8"/>
    <w:rsid w:val="00AA1D8D"/>
    <w:rsid w:val="00AE2CCD"/>
    <w:rsid w:val="00B47730"/>
    <w:rsid w:val="00C65906"/>
    <w:rsid w:val="00CB0664"/>
    <w:rsid w:val="00D64F2E"/>
    <w:rsid w:val="00F032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9C9402"/>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5466</Words>
  <Characters>31161</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9</cp:revision>
  <dcterms:created xsi:type="dcterms:W3CDTF">2013-12-23T23:15:00Z</dcterms:created>
  <dcterms:modified xsi:type="dcterms:W3CDTF">2025-08-02T20:17:00Z</dcterms:modified>
  <cp:category/>
</cp:coreProperties>
</file>