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D1F3" w14:textId="44B6FA85" w:rsidR="00492985" w:rsidRDefault="00000000">
      <w:r>
        <w:t xml:space="preserve">Significant aspects of the risk management Culture </w:t>
      </w:r>
      <w:r w:rsidR="008D3063">
        <w:t>t</w:t>
      </w:r>
      <w:r>
        <w:t>he Group is committed to promoting and maintaining business practices and controls that are consistent with a culture of risk excellence, high ethical standards, and solid commitments to its employees, customers, regulators, and the communities in which it operates.</w:t>
      </w:r>
    </w:p>
    <w:p w14:paraId="31F8437A" w14:textId="77777777" w:rsidR="00492985" w:rsidRDefault="00000000">
      <w:r>
        <w:t>Risk management is the responsibility of each employee, and is implemented through a Three Lines of Defense framework.</w:t>
      </w:r>
    </w:p>
    <w:p w14:paraId="1C415DE3" w14:textId="77777777" w:rsidR="00492985" w:rsidRDefault="00000000">
      <w:r>
        <w:t>The FLoD owns the risks associated with their activities and is responsible for establishing effective internal controls to manage such risks to an acceptable level and promoting a strong culture of risk awareness.</w:t>
      </w:r>
    </w:p>
    <w:p w14:paraId="12BB9AA5" w14:textId="77777777" w:rsidR="00492985" w:rsidRDefault="00000000">
      <w:r>
        <w:t>Compliance is responsible to develop and execute a comprehensive Compliance program in line with the requirements of Minimum Requirements for Risk Management Mindestanforderungen an das Risikomanagement, MaRiskand Minimum Requirements for the Compliance Function and Additional Requirements Governing Rules of Conduct, Organisation and Transparency MaComp as well as Mindestanforderungen an die ordnungsgemäße Erbringung des Depotgeschäfts und den Schutz von Kundenfinanzinstrumenten für Wertpapierdienstleistungsunternehmen MaDepot which includes to understand, advise and monitor the compliance of the bank with key rules and regulations.</w:t>
      </w:r>
    </w:p>
    <w:p w14:paraId="422862DD" w14:textId="77777777" w:rsidR="00492985" w:rsidRDefault="00000000">
      <w:r>
        <w:t>The EMB ensures that the Risk Management System RMS is appropriate based on the alignment with the business strategy and based on the risk profile of the Bank and Group.</w:t>
      </w:r>
    </w:p>
    <w:p w14:paraId="22659799" w14:textId="77777777" w:rsidR="00492985" w:rsidRDefault="00000000">
      <w:r>
        <w:t>Risk management is the responsibility of every employee and is defined by the implemented Three Lines of Defense framework.</w:t>
      </w:r>
    </w:p>
    <w:p w14:paraId="2E757DDC" w14:textId="77777777" w:rsidR="00492985" w:rsidRDefault="00000000">
      <w:r>
        <w:t>Within SSBI, the Risk Management department is responsible for monitoring and reporting on interest rate risks, while the Global Treasury department is responsible for managing the risks.</w:t>
      </w:r>
    </w:p>
    <w:p w14:paraId="6C6A1A04" w14:textId="77777777" w:rsidR="00492985" w:rsidRDefault="00000000">
      <w:r>
        <w:t>As part of its supervisory reporting, the Finance department regularly measures the regulatory liquidity indicator Liquidity Coverage Ratio, LCR and und Net Stable Funding Ratio, NSFR of the Group and the Bank and prepares the corresponding internal and external reporting.</w:t>
      </w:r>
    </w:p>
    <w:p w14:paraId="3D74F507" w14:textId="77777777" w:rsidR="00492985" w:rsidRDefault="00000000">
      <w:r>
        <w:t>The Risk Management department carries out the internal process of monitoring the capital base of the Group and SSBI to ensure capital adequacy.</w:t>
      </w:r>
    </w:p>
    <w:p w14:paraId="4AE8E4D6" w14:textId="77777777" w:rsidR="00492985" w:rsidRDefault="00000000">
      <w:r>
        <w:t>Within SSBI, the Treasury department is responsible for managing interest rate risks, while the Risk Management department is responsible for monitoring and reporting them.</w:t>
      </w:r>
    </w:p>
    <w:p w14:paraId="639FB0AB" w14:textId="77777777" w:rsidR="00492985" w:rsidRDefault="00000000">
      <w:r>
        <w:t>The MRAC focuses on overall topics impacting the risk management holistically, while operational risks, including operational losses and profits, are analyzed specifically at the local Business Risk Committees and the TORC.</w:t>
      </w:r>
    </w:p>
    <w:p w14:paraId="0049828A" w14:textId="77777777" w:rsidR="00492985" w:rsidRDefault="00000000">
      <w:r>
        <w:lastRenderedPageBreak/>
        <w:t>Areas of focus include, but are not limited to, data quality and integrity, lineage, reporting.</w:t>
      </w:r>
    </w:p>
    <w:p w14:paraId="1F21A99F" w14:textId="77777777" w:rsidR="00492985" w:rsidRDefault="00000000">
      <w:r>
        <w:t>The purpose of the Outsourcing Governance Committee OGC is to assist the EMB in its responsibility to implement an effective internal control framework, including internal control mechanisms, to identify, assess, monitor and manage all risks resulting from arrangements with third parties to which SSEHG Group and SSBI are or might be exposed.</w:t>
      </w:r>
    </w:p>
    <w:p w14:paraId="69750929" w14:textId="77777777" w:rsidR="00492985" w:rsidRDefault="00000000">
      <w:r>
        <w:t>Its purpose is local oversight, in-depth review, and affirmation of assumptions associated with SSBIs balance sheet related forecasts, ILAAP, ICAAP and RRP, oversight, review and validation of any form of models, methodologies and assumptions utilized in the measurement of risks and the back testing process and results thereof and the oversight of SSBIs balance sheet strategymanagement and new business activities.</w:t>
      </w:r>
    </w:p>
    <w:p w14:paraId="49ED4E4C" w14:textId="77777777" w:rsidR="00492985" w:rsidRDefault="00000000">
      <w:r>
        <w:t>It assists the EMB in delivering its execution, oversight and advisory duties in relation to the SSBIs sustainability strategy and risk Information Classification, General management framework.</w:t>
      </w:r>
    </w:p>
    <w:p w14:paraId="2FE1A2BC" w14:textId="77777777" w:rsidR="00492985" w:rsidRDefault="00000000">
      <w:r>
        <w:t>The securities held in the Banks own portfolio are discussed quarterly at the Investment Portfolio Surveillance meeting with regard to any potential unusual developments in terms of performance and credit rating, with counteraction taken as needed.</w:t>
      </w:r>
    </w:p>
    <w:p w14:paraId="7E2CDA10" w14:textId="77777777" w:rsidR="00492985" w:rsidRDefault="00000000">
      <w:r>
        <w:t>Internal controls Internal controls are based on the internal control system ICS, The ICS implemented at SSBI consists of rules on structures and procedures as well as risk management and monitoring processes, a risk controlling function, and a compliance function Internal Audit reviews all business fields independently from processes in accordance with legal requirements, both at regular intervals and by means of special audits.</w:t>
      </w:r>
    </w:p>
    <w:p w14:paraId="19B69ADD" w14:textId="77777777" w:rsidR="00492985" w:rsidRDefault="00000000">
      <w:r>
        <w:t>This involves, in particular, auditing the effectiveness, appropriateness, and efficiency of the risk-relevant processes, and therefore, the quality of the overall risk management process.</w:t>
      </w:r>
    </w:p>
    <w:p w14:paraId="0D5FDE4A" w14:textId="77777777" w:rsidR="00492985" w:rsidRDefault="00000000">
      <w:r>
        <w:t>The social dimension of this risk focuses on SSBI relationship with its employees, customers, suppliers and communities and will be assessed by labor practices, diversity, inclusion and community engagement.</w:t>
      </w:r>
    </w:p>
    <w:p w14:paraId="31DF73BB" w14:textId="77777777" w:rsidR="00492985" w:rsidRDefault="00000000">
      <w:r>
        <w:t>The impact of Climate-related and Environmental risks CER is assessed in the CER Materiality Assessment.</w:t>
      </w:r>
    </w:p>
    <w:p w14:paraId="6467A546" w14:textId="77777777" w:rsidR="00492985" w:rsidRDefault="00000000">
      <w:r>
        <w:t>The Group has also made a first evaluation on the impact of social and governance S&amp;G risk drivers, with the result that these risks are not expected to have a material impact on the above listed risk types.</w:t>
      </w:r>
    </w:p>
    <w:p w14:paraId="773C4E2F" w14:textId="77777777" w:rsidR="00492985" w:rsidRDefault="00000000">
      <w:r>
        <w:t>The EMB of SSBI is responsible in setting and overseeing the Banks credit risk strategy and credit policy, which includes determining credit risk appetiterisk appetite and establishing relevant credit risk management policies, including, but not limited to, the delegation of authorities and the credit internal limit structure.</w:t>
      </w:r>
    </w:p>
    <w:p w14:paraId="5F906685" w14:textId="77777777" w:rsidR="00492985" w:rsidRDefault="00000000">
      <w:r>
        <w:lastRenderedPageBreak/>
        <w:t>Establishing limits and monitoring compliance with limits are core components of the risk minimization process.</w:t>
      </w:r>
    </w:p>
    <w:p w14:paraId="41B9E97D" w14:textId="77777777" w:rsidR="00492985" w:rsidRDefault="00000000">
      <w:r>
        <w:t>Credit risks are measured and monitored in order to ensure compliance with the risk appetite for such risks.</w:t>
      </w:r>
    </w:p>
    <w:p w14:paraId="143F2CD7" w14:textId="77777777" w:rsidR="00492985" w:rsidRDefault="00000000">
      <w:r>
        <w:t>The value of collateral held by State Street could also be impacted together with a negative impact on sovereign risk in geographies vulnerable to physical risks or in countries with higher reliance on sectors impacted by a climate-related and environmental transition.</w:t>
      </w:r>
    </w:p>
    <w:p w14:paraId="56A7F212" w14:textId="77777777" w:rsidR="00492985" w:rsidRDefault="00000000">
      <w:r>
        <w:t>The following Level 2 Risks may be impacted by CER drivers, Counterparty Risk Collateral Risk Settlement Risk Sovereign Risk SSBI has developed an approach to quantify the impact from climate-related credit risks considering counterparty exposure and resilience to CER drivers and transmission channels.</w:t>
      </w:r>
    </w:p>
    <w:p w14:paraId="03FE7EB3" w14:textId="77777777" w:rsidR="00492985" w:rsidRDefault="00000000">
      <w:r>
        <w:t>Currently the impact of climate and environmentalrelated risk on the credit portfolio is considered not material.</w:t>
      </w:r>
    </w:p>
    <w:p w14:paraId="554F4A8E" w14:textId="77777777" w:rsidR="00492985" w:rsidRDefault="00000000">
      <w:r>
        <w:t>Environmental including climate-risk related factors and S&amp;G risk factors will be considered in the credit analysis and approval process, where applicable and may result in the reduction of the initially defined risk appetite for the respective credit counterparty.</w:t>
      </w:r>
    </w:p>
    <w:p w14:paraId="5DEC05E5" w14:textId="77777777" w:rsidR="00492985" w:rsidRDefault="00000000">
      <w:r>
        <w:t>Prior to implementing new products, associated risk characteristics are being assessed and technical implementation in risk management systems is ensured.</w:t>
      </w:r>
    </w:p>
    <w:p w14:paraId="42AB1A00" w14:textId="77777777" w:rsidR="00492985" w:rsidRDefault="00000000">
      <w:r>
        <w:t>In addition, market developments are closely monitored by the Group, so that timely measures can be taken related to changed market environments.</w:t>
      </w:r>
    </w:p>
    <w:p w14:paraId="39115CD9" w14:textId="77777777" w:rsidR="00492985" w:rsidRDefault="00000000">
      <w:r>
        <w:t>Over the course of the reporting period the Investment Portfolio was kept stable due to macroeconomic developments whereby the Group started to invest again in longer term fixed income securities.</w:t>
      </w:r>
    </w:p>
    <w:p w14:paraId="6A23CB6B" w14:textId="77777777" w:rsidR="00492985" w:rsidRDefault="00000000">
      <w:r>
        <w:t>In addition, to a limited extent, market price risks can arise from variable-yield securities investment fund units acquired within the framework of SSBI employees voluntarily converting part of their salary into savings for their pension plans.</w:t>
      </w:r>
    </w:p>
    <w:p w14:paraId="7A3FB8DC" w14:textId="77777777" w:rsidR="00492985" w:rsidRDefault="00000000">
      <w:r>
        <w:t>As per the effective date December 31, 2023 and throughout the year 2023 risk metrics stayed within regulatory limits and Interest rate risk improved further compared to the prior year result.</w:t>
      </w:r>
    </w:p>
    <w:p w14:paraId="79A3CCD3" w14:textId="77777777" w:rsidR="00492985" w:rsidRDefault="00000000">
      <w:r>
        <w:t>In the TLoD, Internal Audit guarantees an independent and objective assessment of the structure and operational effectiveness of the Groups internal control system and therefore ensures a holistic approach to managing market price risk.</w:t>
      </w:r>
    </w:p>
    <w:p w14:paraId="1BF5B311" w14:textId="77777777" w:rsidR="00492985" w:rsidRDefault="00000000">
      <w:r>
        <w:t xml:space="preserve">The approach to quantify CER impact for market risk on credit spreads was leveraging the approach used for Credit Risk through climate-adjusted PDs and associated credit ratings </w:t>
      </w:r>
      <w:r>
        <w:lastRenderedPageBreak/>
        <w:t>for different scenarios and timeframes and calculating the resulting changes in the mark-to-market asset values.</w:t>
      </w:r>
    </w:p>
    <w:p w14:paraId="3BE342C1" w14:textId="77777777" w:rsidR="00492985" w:rsidRDefault="00000000">
      <w:r>
        <w:t>To achieve the liquidity risk management objectives, a comprehensive framework is in place to ensure that the level and composition of the Liquidity Buffer and funding position are sufficient for SSBI to sustainably operate under its business model and protect its clients interests as well as system-wide liquidity in the payment and settlement systems in which it operates.</w:t>
      </w:r>
    </w:p>
    <w:p w14:paraId="1884CD11" w14:textId="77777777" w:rsidR="00492985" w:rsidRDefault="00000000">
      <w:r>
        <w:t>To ensure compliance with the risk appetite for liquidity risks, the risks are measured and monitored.</w:t>
      </w:r>
    </w:p>
    <w:p w14:paraId="39BBCEAE" w14:textId="77777777" w:rsidR="00492985" w:rsidRDefault="00000000">
      <w:r>
        <w:t>In the role of the TloD, Internal Audit guarantees an independent and objective assessment of the structure and operational effectiveness of the Banks internal control system, thus ensuring a holistic approach to managing liquidity risk.</w:t>
      </w:r>
    </w:p>
    <w:p w14:paraId="74F4CA51" w14:textId="77777777" w:rsidR="00492985" w:rsidRDefault="00000000">
      <w:r>
        <w:t>The quantification methodology focused on the impact of different climate scenarios under various timeframes on SSBIs Stressed Liquid Asset Buffer SLAB using the outputs from Credit and Market Risk CER impact quantification.</w:t>
      </w:r>
    </w:p>
    <w:p w14:paraId="6E026ED9" w14:textId="77777777" w:rsidR="00492985" w:rsidRDefault="00000000">
      <w:r>
        <w:t>Since the last ILAAP cycle, SSEHG Group implemented a number of initiatives to further enhance its Liquidity Risk Management Framework, delivering against self-identified items and regulatory feedback.</w:t>
      </w:r>
    </w:p>
    <w:p w14:paraId="6E636A8C" w14:textId="77777777" w:rsidR="00492985" w:rsidRDefault="00000000">
      <w:r>
        <w:t>Additional planned improvements for 2024 will ensure continued resilience of SSEHG KGs Liquidity Risk Management Framework.</w:t>
      </w:r>
    </w:p>
    <w:p w14:paraId="76FB7677" w14:textId="77777777" w:rsidR="00492985" w:rsidRDefault="00000000">
      <w:r>
        <w:t>When combined with relevant reporting and escalation levels, this should ensure effective management of operational risks within the context of the internal control system.</w:t>
      </w:r>
    </w:p>
    <w:p w14:paraId="27FCABF1" w14:textId="77777777" w:rsidR="00492985" w:rsidRDefault="00000000">
      <w:r>
        <w:t>Compliance with relevant legal and regulatory requirements is a critical component of SSBIs business activities.</w:t>
      </w:r>
    </w:p>
    <w:p w14:paraId="235D0801" w14:textId="77777777" w:rsidR="00492985" w:rsidRDefault="00000000">
      <w:r>
        <w:t>The responsibility for compliance with these requirements lies with every individual employee and is also the responsibility of the relevant line departments or corporate functions within the Bank.</w:t>
      </w:r>
    </w:p>
    <w:p w14:paraId="4308E4D5" w14:textId="77777777" w:rsidR="00492985" w:rsidRDefault="00000000">
      <w:r>
        <w:t>Non-Financial risks are measured and monitored in order to ensure compliance with the risk appetite for such risks.</w:t>
      </w:r>
    </w:p>
    <w:p w14:paraId="473F8A62" w14:textId="77777777" w:rsidR="00492985" w:rsidRDefault="00000000">
      <w:r>
        <w:t>Process-independent controls consist of the Internal Audit department and a comprehensive program of monitoring and auditing measures conducted by the Compliance department.</w:t>
      </w:r>
    </w:p>
    <w:p w14:paraId="6BACA49F" w14:textId="77777777" w:rsidR="00492985" w:rsidRDefault="00000000">
      <w:r>
        <w:t>It provides these to the business units in the form of a summary of its regulatory requirements, risks, corresponding Information Classification, General risk controls, and suggested solutions for compliance issues.</w:t>
      </w:r>
    </w:p>
    <w:p w14:paraId="59344B7D" w14:textId="77777777" w:rsidR="00492985" w:rsidRDefault="00000000">
      <w:r>
        <w:lastRenderedPageBreak/>
        <w:t>This framework constitutes a comprehensive and consistent approach for managing compliance risks.</w:t>
      </w:r>
    </w:p>
    <w:p w14:paraId="4640F19F" w14:textId="77777777" w:rsidR="00492985" w:rsidRDefault="00000000">
      <w:r>
        <w:t>The latter serves to identify the need to implement any new measures so as to ensure ongoing compliance with the changing legal and regulatory requirements.</w:t>
      </w:r>
    </w:p>
    <w:p w14:paraId="44823A3A" w14:textId="77777777" w:rsidR="00492985" w:rsidRDefault="00000000">
      <w:r>
        <w:t>The results of the overall risk quantification and detailed aspects of Non-Financial Risks are made available to senior management as part of the established governance structure.</w:t>
      </w:r>
    </w:p>
    <w:p w14:paraId="53009843" w14:textId="77777777" w:rsidR="00492985" w:rsidRDefault="00000000">
      <w:r>
        <w:t>However, also given the potential for further negative indirect consequences, SSBI determined the potential impact of CER drivers on Core Compliance risk as Material to be prudent and take a conservative approach.</w:t>
      </w:r>
    </w:p>
    <w:p w14:paraId="58DE3055" w14:textId="77777777" w:rsidR="00492985" w:rsidRDefault="00000000">
      <w:r>
        <w:t>Risk management SSEHG regularly monitors changes in the legal and regulatory banking landscape to ensure a prompt and complete implementation of these changes in its strategic planning.</w:t>
      </w:r>
    </w:p>
    <w:p w14:paraId="5EF11F98" w14:textId="77777777" w:rsidR="00492985" w:rsidRDefault="00000000">
      <w:r>
        <w:t>In order to minimize the risk arising from such changes in the environment, the following controls were implemented, At least annual revision of the business strategy Balanced scorecards prepared quarterly to review goal attainment Regular recording of financial data Quarterly analysis of impairments of financial and risk plan values Monitoring the income statement at the customer level A fee-adjustment process Adjustment processes in accordance with AT 8 MaRisk Regular review of the Banks governance structure and any necessary adjustments Information Classification, General Consideration of climate-related and environmental risks The impact of CER is included in the assessment for all other risk sub-categories, including Strategic Risk.</w:t>
      </w:r>
    </w:p>
    <w:p w14:paraId="6355E794" w14:textId="77777777" w:rsidR="00492985" w:rsidRDefault="00000000">
      <w:r>
        <w:t>The Group must consider the impact of CER on its strategy, elaborate on adequate reactions by mitigating risks but also taking advantage of opportunities and respond to client demand for climate-related products, with the risk of having misaligned climate strategies across business lines, or being unable to execute the respective strategy.</w:t>
      </w:r>
    </w:p>
    <w:p w14:paraId="71A1FF0A" w14:textId="77777777" w:rsidR="00492985" w:rsidRDefault="00000000">
      <w:r>
        <w:t>Evolving climate regulations may impact business in different jurisdictions or create divergent regulatory regimes that introduce cost and complexity into the Groups operations.</w:t>
      </w:r>
    </w:p>
    <w:p w14:paraId="6EC22083" w14:textId="77777777" w:rsidR="00492985" w:rsidRDefault="00000000">
      <w:r>
        <w:t>This policy specifies the requirements, roles, and responsibilities for monitoring the development, validation, implementation, approval, use, periodic review, validation, and aggregation of risks, as well as the reporting model risks.</w:t>
      </w:r>
    </w:p>
    <w:p w14:paraId="2866216D" w14:textId="77777777" w:rsidR="00492985" w:rsidRDefault="00000000">
      <w:r>
        <w:t>Reputational damage caused directly or indirectly by the Banks activities or by external factors may lead to loss of profits, declines in shareholder value, customer attrition, and loss of trust from stakeholders Risk strategy The Group is committed to fostering and maintaining business practices and controls that are consistent with a culture of excellence, high ethical standards, and strong commitments to its employees, customers, supervisory authorities, and the communities in which it operates.</w:t>
      </w:r>
    </w:p>
    <w:p w14:paraId="711D125C" w14:textId="77777777" w:rsidR="00492985" w:rsidRDefault="00000000">
      <w:r>
        <w:lastRenderedPageBreak/>
        <w:t>The Group seeks to operate, at all levels of the organization, with a clear focus on ethics, personal accountability, and a sense of empowerment both in achieving its goals and in making the right decisions.</w:t>
      </w:r>
    </w:p>
    <w:p w14:paraId="1F632EDD" w14:textId="35180E0B" w:rsidR="00492985" w:rsidRDefault="00000000">
      <w:r>
        <w:t xml:space="preserve">Risk management Reputational risks generally arise from the materialization of other risk categories </w:t>
      </w:r>
      <w:r w:rsidR="004F26A7">
        <w:t>o</w:t>
      </w:r>
      <w:r>
        <w:t>perational, technology resiliency, compliance, business risks.</w:t>
      </w:r>
    </w:p>
    <w:p w14:paraId="3B09933A" w14:textId="77777777" w:rsidR="00492985" w:rsidRDefault="00000000">
      <w:r>
        <w:t>The overall risk assessment of the reputational risks, which include the operational, compliance, regulatory and legal situation of the Group, are reviewed quarterly by the Risk Committee.</w:t>
      </w:r>
    </w:p>
    <w:p w14:paraId="7961E1B9" w14:textId="77777777" w:rsidR="00492985" w:rsidRDefault="00000000">
      <w:r>
        <w:t>The CMRC is responsible for the oversight of the Banks credit and market risk profile, with the responsibility for the oversight of the credit and market risk profile of the legal entity with the responsibility for the oversight and review of risks impacting SSBIs credit portfolio and the responsibility for the oversight, identification and monitoring of trading risks associated with the Global Markets products and services offered by SSBI.</w:t>
      </w:r>
    </w:p>
    <w:p w14:paraId="3B1D6540" w14:textId="77777777" w:rsidR="00492985" w:rsidRDefault="00000000">
      <w:r>
        <w:t>The EMB of SSBI is aware of the risks resulting from the business model of the Bank and of its potential impact on the realization of strategic goals, considering its responsibilities to stakeholders, including shareholders, clients, employees, supervisory authorities, the communities and markets in which it operates.</w:t>
      </w:r>
    </w:p>
    <w:p w14:paraId="71C2296E" w14:textId="77777777" w:rsidR="00492985" w:rsidRDefault="00000000">
      <w:r>
        <w:t>In support of that, the Group has implemented a comprehensive risk management framework in alignment with the business strategy and resulting risk profile.</w:t>
      </w:r>
    </w:p>
    <w:p w14:paraId="40BC515B" w14:textId="77777777" w:rsidR="00492985" w:rsidRDefault="00000000">
      <w:r>
        <w:t>The risk appetite framework sets SSEHG Groups risk management principles.</w:t>
      </w:r>
    </w:p>
    <w:p w14:paraId="1389D538" w14:textId="77777777" w:rsidR="00492985" w:rsidRDefault="00000000">
      <w:r>
        <w:t>SSBIs Suitability Policy establishes a sound approach for the assessment of the suitability of the members of the EMB and the Supervisory Board SB of SSBI and of key function holders consistent with statutory and regulatory requirements.</w:t>
      </w:r>
    </w:p>
    <w:p w14:paraId="29C591EC" w14:textId="77777777" w:rsidR="00492985" w:rsidRDefault="00000000">
      <w:r>
        <w:t>In this context, the Bank is committed to increasing diversity throughout its whole population and the senior levels of the organization in a sustainable manner.</w:t>
      </w:r>
    </w:p>
    <w:p w14:paraId="1B7BD6A4" w14:textId="77777777" w:rsidR="00492985" w:rsidRDefault="00000000">
      <w:r>
        <w:t>This is not only reflected in the SSBI Information Classification, General Diversity Policy but also embedded in the scorecard and objectives of our most senior leaders in the organization and directly tied to their compensation.</w:t>
      </w:r>
    </w:p>
    <w:p w14:paraId="78E60520" w14:textId="77777777" w:rsidR="00492985" w:rsidRDefault="00000000">
      <w:r>
        <w:t>In a fast-paced and evolving world, we make it a priority to ensure that all our employees feel their identities and experiences are represented, embraced and celebrated.</w:t>
      </w:r>
    </w:p>
    <w:p w14:paraId="2B5F9BA1" w14:textId="77777777" w:rsidR="00492985" w:rsidRDefault="00000000">
      <w:r>
        <w:t>State Streets key goals to drive diversity are, 1.</w:t>
      </w:r>
    </w:p>
    <w:p w14:paraId="0DE244D6" w14:textId="77777777" w:rsidR="00492985" w:rsidRDefault="00000000">
      <w:r>
        <w:t>Focus on Inclusion build an inclusive culture to drive a high performing organization and high performing teams where each individual achieves their full potential 2.</w:t>
      </w:r>
    </w:p>
    <w:p w14:paraId="4DCE5263" w14:textId="33B7E48A" w:rsidR="00492985" w:rsidRDefault="00000000">
      <w:r>
        <w:lastRenderedPageBreak/>
        <w:t xml:space="preserve">Broaden the Diversity Agenda start and continue conversations and efforts around various diversity dimensions </w:t>
      </w:r>
      <w:r w:rsidR="00B44EFA">
        <w:t>d</w:t>
      </w:r>
      <w:r>
        <w:t>isability to drive broader representation of diversity at all levels of leadership 4.</w:t>
      </w:r>
    </w:p>
    <w:p w14:paraId="7F3B7E12" w14:textId="77777777" w:rsidR="00492985" w:rsidRDefault="00000000">
      <w:r>
        <w:t>We are improving participation in inclusive leadership training for managers, and implementing systems to ensure all managers are accountable for diversity targets.</w:t>
      </w:r>
    </w:p>
    <w:p w14:paraId="28607E23" w14:textId="77777777" w:rsidR="00492985" w:rsidRDefault="00000000">
      <w:r>
        <w:t>We support various employee resource groups, including the Professional Womens Network, the Disability Awareness Alliance, PRIDE our LGBTQ network, and many more.</w:t>
      </w:r>
    </w:p>
    <w:p w14:paraId="18D3D976" w14:textId="77777777" w:rsidR="00492985" w:rsidRDefault="00000000">
      <w:r>
        <w:t>Our employees are offered global access to online webinar programs that focus on workplace diversity, as well as in-person diversity awareness trainings and workshops.</w:t>
      </w:r>
    </w:p>
    <w:p w14:paraId="124A480E" w14:textId="77777777" w:rsidR="00492985" w:rsidRDefault="00000000">
      <w:r>
        <w:t>Training programs are part of a holistic approach to our culture.</w:t>
      </w:r>
    </w:p>
    <w:p w14:paraId="46BAFFCD" w14:textId="77777777" w:rsidR="00492985" w:rsidRDefault="00000000">
      <w:r>
        <w:t>As we focus on actively driving progress towards greater equity and social justice within our business, we encourage our clients to do the same.</w:t>
      </w:r>
    </w:p>
    <w:p w14:paraId="0EF43697" w14:textId="77777777" w:rsidR="00492985" w:rsidRDefault="00000000">
      <w:r>
        <w:t>We have had diversity targets in place and review these targets annually for progress.</w:t>
      </w:r>
    </w:p>
    <w:p w14:paraId="49DEED89" w14:textId="77777777" w:rsidR="00492985" w:rsidRDefault="00000000">
      <w:r>
        <w:t>As part of our commitment to meet our five-year diversity targets, we are also leaning into our 10 Actions Against Racism and Inequality, launched in mid-2020 and designed to promote racial equity in our company, industry and society.</w:t>
      </w:r>
    </w:p>
    <w:p w14:paraId="084B80D5" w14:textId="77777777" w:rsidR="00492985" w:rsidRDefault="00000000">
      <w:r>
        <w:t>With regards to the EMB, there are concrete actions underway to enhance the board, which will give the chance to improve female representation.</w:t>
      </w:r>
    </w:p>
    <w:p w14:paraId="539A199C" w14:textId="77777777" w:rsidR="00492985" w:rsidRDefault="00000000">
      <w:r>
        <w:t>For operational management purposes, the Leverage Ratios of SSEHG Group and SSBI are reported monthly to the ALCO and developments and trends are respectively analyzed in case of relevant changes.</w:t>
      </w:r>
    </w:p>
    <w:p w14:paraId="59D55248" w14:textId="77777777" w:rsidR="00492985" w:rsidRDefault="00000000">
      <w:r>
        <w:t>The pre-trade check process, including an assessment on Shadow Banking Entity activities, aims to ensure compliance of a new trade with the internal and supervisory requirements at the earliest stage.</w:t>
      </w:r>
    </w:p>
    <w:p w14:paraId="67C28179" w14:textId="77777777" w:rsidR="00492985" w:rsidRDefault="00000000">
      <w:r>
        <w:t>Key remuneration principles SSBI aims to achieve long-term growth through its core strategic goals with an emphasis on the following, Be the leading investment servicer and provider of liquidity, financing and research products, shaping the future of the industry and driving new levels of technology-led innovation, resiliency, efficiency and growth for investors and the people they serve, Be an essential and trusted partner to our clients, our regulators, and our communities Be a destination for the best talent in our business There are seven key remuneration principles that align State Streets remuneration system with the business strategy, 1.</w:t>
      </w:r>
    </w:p>
    <w:p w14:paraId="2BEDFFAF" w14:textId="77777777" w:rsidR="00492985" w:rsidRDefault="00000000">
      <w:r>
        <w:t xml:space="preserve">Our remuneration plans are designed to comply with applicable regulations and related guidance, including aligning incentive compensation with appropriate risk management principles The linkage between the remuneration strategy and business strategy is further </w:t>
      </w:r>
      <w:r>
        <w:lastRenderedPageBreak/>
        <w:t>elaborated below, Be the leading investment servicer and provider of liquidity, financing and research products, shaping the future of the industry and driving new levels of technology-led innovation, resiliency, efficiency and growth for investors and the people they serve, The focus lies on having a business 29 Institutsvergütungsverordnung in its version effective since September 20, 2021.</w:t>
      </w:r>
    </w:p>
    <w:p w14:paraId="6476B8A9" w14:textId="77777777" w:rsidR="00492985" w:rsidRDefault="00000000">
      <w:r>
        <w:t>Information Classification, General model that can respond to a rapidly shifting operating environment in the key areas of operations, productivity, market data and controls, To support this goal, the remuneration system is also adaptable to achieve a broad and diverse remuneration mix governed by rigorously designed and implemented controls, Therefore, we differentiate pay based on performance, focus on all elements of an employees remuneration in order to achieve the strongest possible incentivizing effect of remuneration and apply risk adjustment mechanisms to reflect any relevant eventualities.</w:t>
      </w:r>
    </w:p>
    <w:p w14:paraId="39970E4D" w14:textId="77777777" w:rsidR="00492985" w:rsidRDefault="00000000">
      <w:r>
        <w:t>Be an essential and trusted partner to our clients, our regulators, and our communities, The focus lies on partnering with clients across a full range of capabilities, Our compensation plans are designed to comply with applicable regulations and related guidance, including aligning incentive compensation with appropriate risk management principles.</w:t>
      </w:r>
    </w:p>
    <w:p w14:paraId="730C70D1" w14:textId="77777777" w:rsidR="00492985" w:rsidRDefault="00000000">
      <w:r>
        <w:t>Overall, this allows SSBI to grow sustainable client relationships on the basis of an appropriate risk management approach and an adequate financial foundation.</w:t>
      </w:r>
    </w:p>
    <w:p w14:paraId="3F5101C1" w14:textId="77777777" w:rsidR="00492985" w:rsidRDefault="00000000">
      <w:r>
        <w:t>Be a destination for the best talent in our business, The focus lies on creating an inspiring work environment to attract, engage and retain employees to ensure we can attract, motivate, and retain talent, we target the aggregate annual value of our Total Rewards Program to be competitive with our business peers.</w:t>
      </w:r>
    </w:p>
    <w:p w14:paraId="21BD1E4F" w14:textId="77777777" w:rsidR="00492985" w:rsidRDefault="00000000">
      <w:r>
        <w:t>We emphasize total rewards so that remuneration is used to achieve a variety of goals.</w:t>
      </w:r>
    </w:p>
    <w:p w14:paraId="6F408454" w14:textId="77777777" w:rsidR="00492985" w:rsidRDefault="00000000">
      <w:r>
        <w:t>Moreover, we unequivocally support equal pay for work of equal value, as a key component of our gender neutral Remuneration Policy, and implement further measures to ensure equal opportunities, equal career prospects 30 and equal treatment irrespective of gender in matters of employment and occupation and to avoid discrimination within the conditions of employment based on gender.</w:t>
      </w:r>
    </w:p>
    <w:p w14:paraId="19217D3C" w14:textId="77777777" w:rsidR="00492985" w:rsidRDefault="00000000">
      <w:r>
        <w:t>The HRC oversees all of State Streets compensation plans, policies, and programs in which senior executives participate and incentive, retirement, welfare and equity plans in which certain other employees of SSC participate.</w:t>
      </w:r>
    </w:p>
    <w:p w14:paraId="34CE1DDF" w14:textId="77777777" w:rsidR="00492985" w:rsidRDefault="00000000">
      <w:r>
        <w:t>This review and assessment is intended to promote the consistency of the incentive compensation IC arrangements with the safety and soundness of State Street including its subsidiaries and the alignment of these arrangements with applicable regulatory guidance and regulations.</w:t>
      </w:r>
    </w:p>
    <w:p w14:paraId="625CBAE4" w14:textId="77777777" w:rsidR="00492985" w:rsidRDefault="00000000">
      <w:r>
        <w:t>The scorecard allows the HRC to holistically evaluate State Streets performance against risk management, objectives, and goals.</w:t>
      </w:r>
    </w:p>
    <w:p w14:paraId="1A7AB697" w14:textId="77777777" w:rsidR="00492985" w:rsidRDefault="00000000">
      <w:r>
        <w:lastRenderedPageBreak/>
        <w:t>SSBI &amp; SSHGs Remuneration System and Governance In light of the global nature of State Streets organization, State Streets remuneration plans and programs are generally established at SSC level and tailored locallyregionally to the extent required to comply with the applicable local legal and regulatory requirements.</w:t>
      </w:r>
    </w:p>
    <w:p w14:paraId="70BB78B3" w14:textId="77777777" w:rsidR="00492985" w:rsidRDefault="00000000">
      <w:r>
        <w:t>SSBI ensures compliance with the remuneration regulations at SSHG by applying the SSBI Remuneration Policy to SSHG as approved by the relevant bodies.</w:t>
      </w:r>
    </w:p>
    <w:p w14:paraId="63124D8E" w14:textId="77777777" w:rsidR="00492985" w:rsidRDefault="00000000">
      <w:r>
        <w:t>SSBIs Remuneration Policy for employees and also that for EMB members were primarily designed by GHR and also include input from SSBIs Remuneration Officers, Compliance, ERM, and Legal, GHR also ensures for an appropriate alignment between the remuneration strategy and the business as well as risk strategy when considering inputs from the relevant functions, including risk-based reviews of incentive compensation arrangements and plans.</w:t>
      </w:r>
    </w:p>
    <w:p w14:paraId="50363B65" w14:textId="77777777" w:rsidR="00492985" w:rsidRDefault="00000000">
      <w:r>
        <w:t>The EMB enables the Remuneration Officers to be involved in the processes for the employee remuneration systems with sufficient resources to ensure an Information Classification, General appropriate, permanent and effective control of the employee remuneration systems.</w:t>
      </w:r>
    </w:p>
    <w:p w14:paraId="4B91605E" w14:textId="77777777" w:rsidR="00492985" w:rsidRDefault="00000000">
      <w:r>
        <w:t>The EMB itself has responsibility for the Remuneration Policy, practices and overall system for employees whereas the Supervisory Board has responsibility for the EMBs remuneration arrangements.</w:t>
      </w:r>
    </w:p>
    <w:p w14:paraId="232AC55A" w14:textId="77777777" w:rsidR="00492985" w:rsidRDefault="00000000">
      <w:r>
        <w:t>These key groups are as follows, Review, SSBIs SB and RemCo The RemCo reviews the Identified Staff identification process in its oversight and monitoring capacity to evaluate its appropriateness and informs the SB Approve, SSBIs EMB Once a year SSBIs EMB reviews and approves the final list of SSBIs Identified Staff and any proposed position changes from the Identified Staff Advisory Group Support, Identified Staff Advisory Group The Advisory Group provides scope clarification as well as strategy and considers technical advice from the Identified Staff Working Group for the identification of Identified Staff.</w:t>
      </w:r>
    </w:p>
    <w:p w14:paraId="3AE1C0F2" w14:textId="77777777" w:rsidR="00492985" w:rsidRDefault="00000000">
      <w:r>
        <w:t>The members are from the following functions, GTRGHR Chair, ERM, Compliance and Legal Support, The Identified Staff Working Group is made up of the same functions as the Advisory Group and supports the identification process by considering new positions to be taken due to regulatory feedback and internal governance restructuring.</w:t>
      </w:r>
    </w:p>
    <w:p w14:paraId="01B3E70C" w14:textId="77777777" w:rsidR="00492985" w:rsidRDefault="00000000">
      <w:r>
        <w:t>The members of the group are selected by their support function leads from the Identified Staff Advisory Group to provide their functional expertise to the project, provide strategic insight and to develop deliverables, provide input or conduct analysis, as required, in support of the identification process External advisors are engaged, as required, to provide practical and operational guidance on the implementation of the Identified Staff criteria and detailed insight to the regulatory implications of the decisions to be taken.</w:t>
      </w:r>
    </w:p>
    <w:p w14:paraId="6DB376BF" w14:textId="77777777" w:rsidR="00492985" w:rsidRDefault="00000000">
      <w:r>
        <w:t>For Identified Staff, the SIP components are restructured to ensure the regulatory requirements for the delivery of the award are met.</w:t>
      </w:r>
    </w:p>
    <w:p w14:paraId="18DF70DB" w14:textId="77777777" w:rsidR="00492985" w:rsidRDefault="00000000">
      <w:r>
        <w:lastRenderedPageBreak/>
        <w:t>Determination of the IC Pool and Individual Variable Remuneration In a first step the corporate IC Program pool budget is established at the beginning of the year during Q1 as approved by the HRC and accrued based on company performance.</w:t>
      </w:r>
    </w:p>
    <w:p w14:paraId="4EF94884" w14:textId="77777777" w:rsidR="00492985" w:rsidRDefault="00000000">
      <w:r>
        <w:t>The discretionary business unit allocation process entails the use of a business unit-level risk scorecard, which captures qualitative and quantitative data across ERM, Audit, Compliance, and Legal areas for every business unit and corporate function.</w:t>
      </w:r>
    </w:p>
    <w:p w14:paraId="4C5FCA51" w14:textId="77777777" w:rsidR="00492985" w:rsidRDefault="00000000">
      <w:r>
        <w:t>As the remuneration strategy is built on the business and risk strategies, performance goals for each employee will in their sum support the success on the achievement of the business and risk strategies.</w:t>
      </w:r>
    </w:p>
    <w:p w14:paraId="11E16184" w14:textId="77777777" w:rsidR="00492985" w:rsidRDefault="00000000">
      <w:r>
        <w:t>Performance Priorities are personalized goals which are shorter term in nature and unique to the employee that align with goals and strategy, business unit goals, and culture traits.</w:t>
      </w:r>
    </w:p>
    <w:p w14:paraId="0E66C180" w14:textId="77777777" w:rsidR="00492985" w:rsidRDefault="00000000">
      <w:r>
        <w:t>In order to reduce employee concentration in State Street stock that would result from using equity instruments alone to deliver the entirety of the Deferred Award, State Street also uses a non-equity deferral vehicle, called the Deferred Value Award DVA.</w:t>
      </w:r>
    </w:p>
    <w:p w14:paraId="1719F5FD" w14:textId="77777777" w:rsidR="00492985" w:rsidRDefault="00000000">
      <w:r>
        <w:t>Retention awards must meet the following criteria, Information Classification, General Awards may only be made if there is a strong business case and its payment is aligned with the organizational and risk strategy Awards are subject to affordability and pay ratio requirements of SSBI Identified Staff awards are subject to the requirements regarding deferral, payment in instruments, malus and clawback Awards are granted after the retention periodretention event has been achieved Recognition awards Certain employees are eligible for additional awards in recognition of their contributions that go beyond prescribed duties.</w:t>
      </w:r>
    </w:p>
    <w:p w14:paraId="59FE9E03" w14:textId="77777777" w:rsidR="00492985" w:rsidRDefault="00000000">
      <w:r>
        <w:t>SSBI has established a specific severance framework with guidelines for the consideration of these types of payments in relation to the termination of an employment relationship, how severance payments should be structured and documented to comply with the IVV and the criteria for privileged severance payments which need not be considered for calculating the ratio between fixed and variable remuneration.</w:t>
      </w:r>
    </w:p>
    <w:p w14:paraId="1800AE49" w14:textId="77777777" w:rsidR="00492985" w:rsidRDefault="00000000">
      <w:r>
        <w:t>Control Functions have reporting lines and performance goals which are independent from the business units which they supervise to avoid conflicts of interest and to ensure the objectivity and independence of the respective employees.</w:t>
      </w:r>
    </w:p>
    <w:p w14:paraId="6D2AEE26" w14:textId="77777777" w:rsidR="00492985" w:rsidRDefault="00000000">
      <w:r>
        <w:t>The management for Control Functions is responsible for determining remuneration to Control Function staff, within overall State Street guidelines.</w:t>
      </w:r>
    </w:p>
    <w:p w14:paraId="22FF1A86" w14:textId="77777777" w:rsidR="00492985" w:rsidRDefault="00000000">
      <w:r>
        <w:t>Moreover, to avoid conflicts of interest in the remuneration system of employees in Control Functions, the performance criteria of those employees are not substantially aligned to performance criteria of organizational units overseen by them.</w:t>
      </w:r>
    </w:p>
    <w:p w14:paraId="2FA93DC1" w14:textId="77777777" w:rsidR="00492985" w:rsidRDefault="00000000">
      <w:r>
        <w:t xml:space="preserve">The scorecard framework utilizes several different risk inputs and perspectives to assess State Street Groups top risks and includes the financial risks, including market, credit, </w:t>
      </w:r>
      <w:r>
        <w:lastRenderedPageBreak/>
        <w:t>liquidity and capital adequacy, and non-financial risks, including operational execution, technology and operational resiliency and business conduct compliance.</w:t>
      </w:r>
    </w:p>
    <w:p w14:paraId="0AB2DC00" w14:textId="77777777" w:rsidR="00492985" w:rsidRDefault="00000000">
      <w:r>
        <w:t>The ex-ante adjustments would allow adjustments for the pool at Group level based on the determination of the remuneration body that is responsible for the oversight of the remuneration of such Identified Staff and can also reduce variable pay at the individual level.</w:t>
      </w:r>
    </w:p>
    <w:p w14:paraId="0AAE9909" w14:textId="77777777" w:rsidR="00492985" w:rsidRDefault="00000000">
      <w:r>
        <w:t>Poor risk performance, including significant or repeated compliance or risk-related violations of State Streets policies, may result in ex-ante adjustments to an individuals IC as part of a progressive discipline structure to hold individual employees accountable for risk performance.</w:t>
      </w:r>
    </w:p>
    <w:p w14:paraId="6731A81D" w14:textId="77777777" w:rsidR="00492985" w:rsidRDefault="00000000">
      <w:r>
        <w:t>SSBI has its own Risk Appetite metrics and, as such, there is an opportunity for SSBI to review threshold breaches, consider if they are a consequence of a remuneration design that allows excessive risk taking behavior and escalate accordingly to SSBIs responsible Remuneration bodies i.</w:t>
      </w:r>
    </w:p>
    <w:p w14:paraId="770B4310" w14:textId="77777777" w:rsidR="00492985" w:rsidRDefault="00000000">
      <w:r>
        <w:t>Aligned with the timing of Snapshots and the Year-End Summary, relevant SSBI Control Function Heads and the relevant SSBI Head of Legal jointly discuss conduct and non-conduct risk and compliance issues by Identified Staff employees.</w:t>
      </w:r>
    </w:p>
    <w:p w14:paraId="0618B78D" w14:textId="77777777" w:rsidR="00492985" w:rsidRDefault="00000000">
      <w:r>
        <w:t>The provision provides for the reduction or cancellation of the amount remaining to be paid under the relevant award as well as clawback of awards paid in the event the remuneration body responsible for the oversight of the remuneration of such Identified Staff determined that the actions of the Identified Staff exposed SSBI to inappropriate risk and that exposure has resulted or could reasonably be expected to result in a material loss or losses that are or would be substantial in relation to the revenue, capital and overall risk tolerance of SSBI or a particular business of SSBI.</w:t>
      </w:r>
    </w:p>
    <w:p w14:paraId="7D463D90" w14:textId="77777777" w:rsidR="00492985" w:rsidRDefault="00000000">
      <w:r>
        <w:t>In addition, the Remuneration Officer of SSBI verifies compliance with the prohibition of personal hedging and insurance strategies, which undermine the impact of the risk adjustment embedded in the remuneration arrangements, by performing yearly spot checks and in the event of concrete indication of the existence of a personal hedging strategy ad hoc checks.</w:t>
      </w:r>
    </w:p>
    <w:p w14:paraId="0AB4B700" w14:textId="77777777" w:rsidR="00492985" w:rsidRDefault="00000000">
      <w:r>
        <w:t>For these employees, broker statements are submitted which are reconciled to the employee records to ensure all trades have been submitted.</w:t>
      </w:r>
    </w:p>
    <w:p w14:paraId="51DD2DE0" w14:textId="77777777" w:rsidR="00492985" w:rsidRDefault="00000000">
      <w:r>
        <w:t>There are also blackout periods for relevant staff which are implemented and monitored to ensure that no relevant employees trade State Street stock during such periods.</w:t>
      </w:r>
    </w:p>
    <w:p w14:paraId="2D35D107" w14:textId="77777777" w:rsidR="00492985" w:rsidRDefault="00000000">
      <w:r>
        <w:t>To this end, the Group uses the Quantitative Risk Management model used by the State Street Corporation, which simulates both the regulatory interest shock scenarios for the banking book required by the BaFin supervisory authority and additional scenarios for changes in the net values of the balance sheet.</w:t>
      </w:r>
    </w:p>
    <w:p w14:paraId="04A0CD8B" w14:textId="77777777" w:rsidR="00492985" w:rsidRDefault="00000000">
      <w:r>
        <w:lastRenderedPageBreak/>
        <w:t>Strategy Climate change is one of the most significant challenges of our time.</w:t>
      </w:r>
    </w:p>
    <w:p w14:paraId="27F9F25D" w14:textId="77777777" w:rsidR="00492985" w:rsidRDefault="00000000">
      <w:r>
        <w:t>As part of our ongoing efforts to enhance the integration of climate-related and environmental CER risk management, SSBI has made progress in embedding CER considerations into its business model and strategy.</w:t>
      </w:r>
    </w:p>
    <w:p w14:paraId="3AD39B59" w14:textId="77777777" w:rsidR="00492985" w:rsidRDefault="00000000">
      <w:r>
        <w:t>Throughout 2023, the strategic sustainability direction for SSBI was focused on integrating CER management.</w:t>
      </w:r>
    </w:p>
    <w:p w14:paraId="62FB7CB2" w14:textId="77777777" w:rsidR="00492985" w:rsidRDefault="00000000">
      <w:r>
        <w:t>Climate and environmental risk management is considered part of SSBIs objectives and key results OKRs.</w:t>
      </w:r>
    </w:p>
    <w:p w14:paraId="64EBB0EC" w14:textId="77777777" w:rsidR="00492985" w:rsidRDefault="00000000">
      <w:r>
        <w:t>For example, one key result for 2023 was to ensure that all SSBI employees conduct a mandatory training on CER management, to ultimately increase transparency and knowledge across the firm.</w:t>
      </w:r>
    </w:p>
    <w:p w14:paraId="40EF3C07" w14:textId="77777777" w:rsidR="00492985" w:rsidRDefault="00000000">
      <w:r>
        <w:t>Reference is made to the SSC Sustainability Report that includes various efforts to address this matter.</w:t>
      </w:r>
    </w:p>
    <w:p w14:paraId="34DEC0C5" w14:textId="77777777" w:rsidR="00492985" w:rsidRDefault="00000000">
      <w:r>
        <w:t>Governance Over the course of 2023, SSBI took action to enhance governance and risk management around CER.</w:t>
      </w:r>
    </w:p>
    <w:p w14:paraId="60961271" w14:textId="77777777" w:rsidR="00492985" w:rsidRDefault="00000000">
      <w:r>
        <w:t>SSBI Sustainability Oversight Committee SSBI SOC, A Supervisory Board committee dedicated to sustainability across SSBI.</w:t>
      </w:r>
    </w:p>
    <w:p w14:paraId="784E60D3" w14:textId="77777777" w:rsidR="00492985" w:rsidRDefault="00000000">
      <w:r>
        <w:t>It assists the SSBI Supervisory Board in delivering its oversight and execution duties in relation to the SSBI sustainability agenda.</w:t>
      </w:r>
    </w:p>
    <w:p w14:paraId="71E56E71" w14:textId="77777777" w:rsidR="00492985" w:rsidRDefault="00000000">
      <w:r>
        <w:t>In addition to the above dedicated Sustainability Committees, certain issues might also be presented to other specific committees such as the SSBI Management Risk and Capital Committee MRAC or SSBI Asset and Liability Committee ALCO.</w:t>
      </w:r>
    </w:p>
    <w:p w14:paraId="09CAE58E" w14:textId="77777777" w:rsidR="00492985" w:rsidRDefault="00000000">
      <w:r>
        <w:t>Furthermore, Committees within SSBIs formal governance structure have updated and amended their charters to ensure that CER risks are adequately reflected and considered as part of the Committees normal procedures.</w:t>
      </w:r>
    </w:p>
    <w:p w14:paraId="47D53FD8" w14:textId="77777777" w:rsidR="00492985" w:rsidRDefault="00000000">
      <w:r>
        <w:t>In addition to the two SSBI dedicated Sustainability Committees established as described above, the.</w:t>
      </w:r>
    </w:p>
    <w:p w14:paraId="5AFF1157" w14:textId="77777777" w:rsidR="00492985" w:rsidRDefault="00000000">
      <w:r>
        <w:t>This change in reporting line gives CER and Sustainability matters the highest prominence, ensuring the right level of review and challenge of new business, risks and reporting from a CER and sustainability lens and provides the focus and visibility required to ensure successful integration of sustainability.</w:t>
      </w:r>
    </w:p>
    <w:p w14:paraId="06492893" w14:textId="77777777" w:rsidR="00492985" w:rsidRDefault="00000000">
      <w:r>
        <w:t>This years focus of the Sustainability Department was the oversight of the delivery of the SSBI Climate-and environmental risk program CER program implementation as well as the development of a framework around management and monitoring of CER.</w:t>
      </w:r>
    </w:p>
    <w:p w14:paraId="3FA64D71" w14:textId="77777777" w:rsidR="00492985" w:rsidRDefault="00000000">
      <w:r>
        <w:lastRenderedPageBreak/>
        <w:t>Developed the governance around the CER Program and reporting around this matter to various Committees.</w:t>
      </w:r>
    </w:p>
    <w:p w14:paraId="69F5D12C" w14:textId="77777777" w:rsidR="00492985" w:rsidRDefault="00000000">
      <w:r>
        <w:t>The banks development of tools, methodologies, and metrics for integrating CER into its Risk Management Framework, policies and processes has further progressed in 2023.</w:t>
      </w:r>
    </w:p>
    <w:p w14:paraId="16667F1F" w14:textId="77777777" w:rsidR="00492985" w:rsidRDefault="00000000">
      <w:r>
        <w:t>CER impact assessment embedded in Risk Management Framework In the 2023 update cycle, CER were considered as potential drivers for all material risk categories within SSBIs Risk Strategy, Risk Taxonomy and Material Risk Inventory CER Materiality Assessment process.</w:t>
      </w:r>
    </w:p>
    <w:p w14:paraId="75277E95" w14:textId="77777777" w:rsidR="00492985" w:rsidRDefault="00000000">
      <w:r>
        <w:t>Embedding the CER Materiality Assessment results in the overall Risk Management Framework, the updated Materially Risk Inventory and Risk Appetite Framework include dedicated qualitative climate-related and environmental sections and statements for each material risk type, Information Classification, General Financial Risks including Credit Risks, Market Risks, Pension Obligation Risks, Liquidity Risks, Non-financial risks including Operational Risks, Technology and Resiliency Risks, Core Compliance Risks, Business risks including Strategic Risks, Model Risks, and Reputational Risks.</w:t>
      </w:r>
    </w:p>
    <w:p w14:paraId="07300E6C" w14:textId="77777777" w:rsidR="00492985" w:rsidRDefault="00000000">
      <w:r>
        <w:t>The impacts of climate risk drivers assessed on Liquidity Risk were quantified, including the use of liquidity stress testing, which was adjusted to consider scientific scenarios, developed by the Network of Central Banks and Supervisors for Greening the Financial System NGFS, the same process as applied for the CER Materiality Assessment for Liquidity.</w:t>
      </w:r>
    </w:p>
    <w:p w14:paraId="59A5F51D" w14:textId="77777777" w:rsidR="00492985" w:rsidRDefault="00000000">
      <w:r>
        <w:t>In addition, the work completed for and the result of the ILAAP Stress Test supports the related liquidity CER Key Risk Indicator KRI, the Stressed Liquid Asset Buffer climate risk scenarios.</w:t>
      </w:r>
    </w:p>
    <w:p w14:paraId="4EB935FF" w14:textId="77777777" w:rsidR="00492985" w:rsidRDefault="00000000">
      <w:r>
        <w:t>Subject Matter Experts identified the changes driven by these scenarios which could most significantly impact SSBI's CER drivers as a increased severity of extreme weather or environmental disaster events physical risk, b chronic changes in weather patterns physical risk, and c Policy &amp; Legal changes transition risk.</w:t>
      </w:r>
    </w:p>
    <w:p w14:paraId="32595706" w14:textId="77777777" w:rsidR="00492985" w:rsidRDefault="00000000">
      <w:r>
        <w:t>A quantitative approach based on climate-adjusted probabilities of default for CER prone portfolios was applied for all Financial Risks.</w:t>
      </w:r>
    </w:p>
    <w:p w14:paraId="286C3D6C" w14:textId="77777777" w:rsidR="00492985" w:rsidRDefault="00000000">
      <w:r>
        <w:t>Net zero CO2 emissions are achieved before 2070 the assumption of a Net Zero 2050 pathway was in particular used for the purpose of the Banks Materiality Assessment, giving a 67% chance of limiting global warming to below 2°C.</w:t>
      </w:r>
    </w:p>
    <w:p w14:paraId="5B7D3392" w14:textId="77777777" w:rsidR="00492985" w:rsidRDefault="00000000">
      <w:r>
        <w:t>These CER KRIs mainly address the impact of Business disruptions with a focus on acute climate risk hazards on SSBI capacity to run and restore its services as well as 3rd party risk due to the impact of CER.</w:t>
      </w:r>
    </w:p>
    <w:p w14:paraId="6D3051FC" w14:textId="77777777" w:rsidR="00492985" w:rsidRDefault="00000000">
      <w:r>
        <w:t xml:space="preserve">Reputational Risks CER KRIs overview methodology and reporting Reputational CER KRIs aim to monitor the reputational impact of CER on process and practices the Bank and the </w:t>
      </w:r>
      <w:r>
        <w:lastRenderedPageBreak/>
        <w:t>Group undertake to transition to low carbon economy, either through its own activities or through services and products it offers to the clients.</w:t>
      </w:r>
    </w:p>
    <w:p w14:paraId="71C62A9A" w14:textId="77777777" w:rsidR="00492985" w:rsidRDefault="00000000">
      <w:r>
        <w:t>They address the potential impact on stakeholder sentiment and the Bank´s commitment to fulfilling regulatory requirements.</w:t>
      </w:r>
    </w:p>
    <w:p w14:paraId="5A5D521A" w14:textId="77777777" w:rsidR="00492985" w:rsidRDefault="00000000">
      <w:r>
        <w:t>Greenhouse gas emissions In the following SSEHG Group presents metrics on Greenhouse Gas GHG emissions which are based on SSCs approach and data set.</w:t>
      </w:r>
    </w:p>
    <w:p w14:paraId="49238889" w14:textId="77777777" w:rsidR="00492985" w:rsidRDefault="00000000">
      <w:r>
        <w:t>Given our portfolio is primarily leased, we use the Operational Control approach when considering if a sites emissions should be considered within scope of our inventory.</w:t>
      </w:r>
    </w:p>
    <w:p w14:paraId="7339C87B" w14:textId="77777777" w:rsidR="00492985" w:rsidRDefault="00000000">
      <w:r>
        <w:t>In line with financial reporting, each quarter SSC assesses its environmental footprint across all locations to analyze the emission reductions achieved from its mitigation strategies.</w:t>
      </w:r>
    </w:p>
    <w:p w14:paraId="0ACD194A" w14:textId="77777777" w:rsidR="00492985" w:rsidRDefault="00000000">
      <w:r>
        <w:t>This is an integral part of SSCs climate risk management objectives and part of its overall business approach.</w:t>
      </w:r>
    </w:p>
    <w:p w14:paraId="794FD012" w14:textId="77777777" w:rsidR="00492985" w:rsidRDefault="00000000">
      <w:r>
        <w:t>In addition, reference is made to the SSC Sustainability &amp; Impact Report 2023 which reflects additional categories of Scope 3 GHG emissions reported on the level of this parent company.</w:t>
      </w:r>
    </w:p>
    <w:p w14:paraId="05EE387B" w14:textId="77777777" w:rsidR="00492985" w:rsidRDefault="00000000">
      <w:r>
        <w:t>For example, one key result for 2023 was to ensure that all SSBI employees conduct a mandatory training around C&amp;E, to ultimately increase transparency and knowledge about CER across the firm.</w:t>
      </w:r>
    </w:p>
    <w:p w14:paraId="1EF9766A" w14:textId="77777777" w:rsidR="00492985" w:rsidRDefault="00000000">
      <w:r>
        <w:t>Given the EU Commission notice on the interpretation and implementation of certain legal provisions of the Disclosures Delegated Act was still in draft status as per the finalization of the GAR quantification and considering the 55 Directive 201495EU of the European Parliament and of the Council of 22 October 2014 amending Directive 201334EU as regards disclosure of non-financial and diversity information by certain large undertakings and Groups Information Classification, General immaterial portion of these counterparty type within the nominator of the GAR, SSEHG Group conservatively did not take any alignment and eligibility information of these counterparties into consideration.</w:t>
      </w:r>
    </w:p>
    <w:p w14:paraId="63408F08" w14:textId="77777777" w:rsidR="00492985" w:rsidRDefault="00000000">
      <w:r>
        <w:t>Corrective measures have been put in place and we expect an improved representation of women in leadership, in particular on the Board levels.</w:t>
      </w:r>
    </w:p>
    <w:p w14:paraId="3EBC0D88" w14:textId="77777777" w:rsidR="00492985" w:rsidRDefault="00000000">
      <w:r>
        <w:t>We believe that our focus on IDE creates value for our clients, our employees and our communities.</w:t>
      </w:r>
    </w:p>
    <w:p w14:paraId="4F5FFC43" w14:textId="77777777" w:rsidR="00492985" w:rsidRDefault="00000000">
      <w:r>
        <w:t>This can be achieved, for example, by means of events and activities that aim to bring together employees from different functions and divisions, as well as internal networks.</w:t>
      </w:r>
    </w:p>
    <w:p w14:paraId="305D78B9" w14:textId="77777777" w:rsidR="00492985" w:rsidRDefault="00000000">
      <w:r>
        <w:t>This addresses the issues of inequality and creates a safe and nonjudgmental discussion space to ensure employees can share their experiences and concerns without hesitation.</w:t>
      </w:r>
    </w:p>
    <w:p w14:paraId="0CED17A5" w14:textId="77777777" w:rsidR="00492985" w:rsidRDefault="00000000">
      <w:r>
        <w:lastRenderedPageBreak/>
        <w:t>There is also Disability &amp; Neurodiversity Information Classification, General Mentoring Program available to all employees, seeking support of more senior colleagues with similar experiences of disability or neurodiversity.</w:t>
      </w:r>
    </w:p>
    <w:p w14:paraId="7EB0BE86" w14:textId="77777777" w:rsidR="00492985" w:rsidRDefault="00000000">
      <w:r>
        <w:t>Our gender diversity goals are supported by our strategy to have a diverse candidate slate for all midlevel and senior management positions of Managing Director and above.</w:t>
      </w:r>
    </w:p>
    <w:p w14:paraId="5D8A139D" w14:textId="77777777" w:rsidR="00492985" w:rsidRDefault="00000000">
      <w:r>
        <w:t>We support gender equality in the workplace through our flexible work culture and benefits, providing parental and caretaker support.</w:t>
      </w:r>
    </w:p>
    <w:p w14:paraId="151F4E52" w14:textId="77777777" w:rsidR="00492985" w:rsidRDefault="00000000">
      <w:r>
        <w:t>In addition, we participate in several initiatives to promote inclusion and gender equity at SSEHG Group.</w:t>
      </w:r>
    </w:p>
    <w:p w14:paraId="6D0C62EC" w14:textId="77777777" w:rsidR="00492985" w:rsidRDefault="00000000">
      <w:r>
        <w:t>We incorporated best practices for inclusive training curricula across our learning and development opportunities and developed new learning options.</w:t>
      </w:r>
    </w:p>
    <w:p w14:paraId="0F3BEE59" w14:textId="77777777" w:rsidR="00492985" w:rsidRDefault="00000000">
      <w:r>
        <w:t>SSEHG Group encourages its employees to support the charities that they care about, and we amplify their donations through a robust matching gift program.</w:t>
      </w:r>
    </w:p>
    <w:p w14:paraId="0933947E" w14:textId="77777777" w:rsidR="00492985" w:rsidRDefault="00000000">
      <w:r>
        <w:t>To complement our 1, 1 match of personal donations, we offer a 1, 1 match of employees' charitable fundraising efforts and monetize their volunteer time.</w:t>
      </w:r>
    </w:p>
    <w:p w14:paraId="1AD4562E" w14:textId="77777777" w:rsidR="00492985" w:rsidRDefault="00000000">
      <w:r>
        <w:t>State Street Volunteers utilizes an open-platform approach, encouraging employees to volunteer with organizations they care about.</w:t>
      </w:r>
    </w:p>
    <w:p w14:paraId="5EFAE339" w14:textId="77777777" w:rsidR="00492985" w:rsidRDefault="00000000">
      <w:r>
        <w:t>The support that our employee volunteers provided to Ukrainian refugees embodies the goals of our Corporate Citizenship program and our culture trait, Care for our Colleagues, Clients, and Community.</w:t>
      </w:r>
    </w:p>
    <w:p w14:paraId="59EBEA9B" w14:textId="77777777" w:rsidR="00492985" w:rsidRDefault="00000000">
      <w:r>
        <w:t>We continue our efforts to maintain an environment where employees can excel personally and professionally and where a healthy work-life balance is encouraged.</w:t>
      </w:r>
    </w:p>
    <w:p w14:paraId="4A942189" w14:textId="77777777" w:rsidR="00492985" w:rsidRDefault="00000000">
      <w:r>
        <w:t>When reinforced in the workplace, these behaviors serve to strengthen an atmosphere in which employees can thrive, which is essential to achieving our business goals.</w:t>
      </w:r>
    </w:p>
    <w:p w14:paraId="2FD76DD2" w14:textId="77777777" w:rsidR="00492985" w:rsidRDefault="00000000">
      <w:r>
        <w:t>Intermittent, shorter pulse surveys solicit feedback on the progress of our engagement efforts as well as seek employee opinion on other ongoing company efforts.</w:t>
      </w:r>
    </w:p>
    <w:p w14:paraId="769CDE16" w14:textId="77777777" w:rsidR="00492985" w:rsidRDefault="00000000">
      <w:r>
        <w:t>Supporting Employee Health and Well-Being, SSEHG Group takes a comprehensive approach to employee health and well-being.</w:t>
      </w:r>
    </w:p>
    <w:p w14:paraId="7B00F929" w14:textId="77777777" w:rsidR="00492985" w:rsidRDefault="00000000">
      <w:r>
        <w:t>This reflects our commitment to acting ethically and with integrity in all our business relationships and to implementing and enforcing effective systems and controls to reduce the risk of slavery, servitude, forced or compulsory labor, or human trafficking Modern Slavery taking place anywhere in our supply chains.</w:t>
      </w:r>
    </w:p>
    <w:p w14:paraId="6F638DCE" w14:textId="77777777" w:rsidR="00492985" w:rsidRDefault="00000000">
      <w:r>
        <w:t>Accordingly, we ensure that our ethical standards are upheld in our procurement practices and that our suppliers are fully compliant with all human rights laws and regulations.</w:t>
      </w:r>
    </w:p>
    <w:p w14:paraId="59441809" w14:textId="77777777" w:rsidR="00492985" w:rsidRDefault="00000000">
      <w:r>
        <w:lastRenderedPageBreak/>
        <w:t>In response to these risks, State Street has adopted a Global Anti-Bribery and Corruption Policy that incorporates the requirements of the UK Anti-Bribery Act, the US Foreign Corrupt Practices Act FCPA, and other anti-bribery and anti-corruption laws.</w:t>
      </w:r>
    </w:p>
    <w:p w14:paraId="245B0962" w14:textId="77777777" w:rsidR="00492985" w:rsidRDefault="00000000">
      <w:r>
        <w:t>The policy prohibits State Street and its employees globally from promising, offering, approving, giving, requesting, agreeing to receive or accepting anything of value for the purpose of improperly obtaining a particular outcome or benefit.</w:t>
      </w:r>
    </w:p>
    <w:p w14:paraId="5383AE98" w14:textId="77777777" w:rsidR="00492985" w:rsidRDefault="00000000">
      <w:r>
        <w:t>It is each employees responsibility to know when we are dealing with a Public Official in order to be in compliance with the Policy.</w:t>
      </w:r>
    </w:p>
    <w:p w14:paraId="7DCDEDAF" w14:textId="77777777" w:rsidR="00492985" w:rsidRDefault="00000000">
      <w:r>
        <w:t>When there is a potential or confirmed failure to meet requirements in these policies and procedures, Financial Crimes Compliance validates the instance of noncompliance with the employee and maintains documentation.</w:t>
      </w:r>
    </w:p>
    <w:p w14:paraId="60244510" w14:textId="77777777" w:rsidR="00492985" w:rsidRDefault="00000000">
      <w:r>
        <w:t>Once confirmed, Financial Crimes Compliance addresses the instance of noncompliance in accordance with the State Street Conduct Standards Policy and Framework and refers the matter to the Conduct Office.</w:t>
      </w:r>
    </w:p>
    <w:p w14:paraId="6A7A65A1" w14:textId="77777777" w:rsidR="00492985" w:rsidRDefault="00000000">
      <w:r>
        <w:t>The regulatory landscape around sustainability and climate-and environmental matters will further tighten in 2024, especially in the European Union with i.</w:t>
      </w:r>
    </w:p>
    <w:p w14:paraId="7499C420" w14:textId="77777777" w:rsidR="00492985" w:rsidRDefault="00000000">
      <w:r>
        <w:t>The Corporate Sustainability Reporting Directive 2022246460, CSRD and the Corporate Sustainability Due Diligence Directive CSDDD, and is expected to further develop across other continents such as Asia and North America.</w:t>
      </w:r>
    </w:p>
    <w:p w14:paraId="4A05FC61" w14:textId="77777777" w:rsidR="00492985" w:rsidRDefault="00000000">
      <w:r>
        <w:t>The Group and SSBI are fully committed to further embedding sustainability across its business model and operations.</w:t>
      </w:r>
    </w:p>
    <w:p w14:paraId="62AFFFB6" w14:textId="77777777" w:rsidR="00492985" w:rsidRDefault="00000000">
      <w:r>
        <w:t>Within forthcoming disclosures, the Group and SSBI intend to successively expand and specify their disclosures regarding sustainability in the categories of governance, strategy, risk management, as well as key metrics and targets.</w:t>
      </w:r>
    </w:p>
    <w:p w14:paraId="14F1C73B" w14:textId="77777777" w:rsidR="00492985" w:rsidRDefault="00000000">
      <w:r>
        <w:t>Over 2024, we are pleased to continue our efforts in embedding sustainability across SSBI.</w:t>
      </w:r>
    </w:p>
    <w:p w14:paraId="1A74DB4F" w14:textId="77777777" w:rsidR="00492985" w:rsidRDefault="00000000">
      <w:r>
        <w:t>Expanding on our existing efforts of integrating CER, diversity, equity and inclusion and our support for client's transition and sustainability journey, we will focus further on our supply chain, human rights and diversity, equity and inclusion commitments.</w:t>
      </w:r>
    </w:p>
    <w:p w14:paraId="100E1402" w14:textId="77777777" w:rsidR="00492985" w:rsidRDefault="00000000">
      <w:r>
        <w:t>Through this approach, financed emissions can provide an indication of exposure to high-emitting assets and counterparties.</w:t>
      </w:r>
    </w:p>
    <w:p w14:paraId="07224DF2" w14:textId="77777777" w:rsidR="00492985" w:rsidRDefault="00000000">
      <w:r>
        <w:t>Calculation Approach In 2023, SSC has progressed a program of work to measure S3C15 emissions associated with the balance sheet financing.</w:t>
      </w:r>
    </w:p>
    <w:p w14:paraId="4A14FFC0" w14:textId="77777777" w:rsidR="00492985" w:rsidRDefault="00000000">
      <w:r>
        <w:t>SSC leverages methodology from Partnerships for Carbon Accounting Financials PCAF, specifically the Global GHG Accounting and Reporting Standard for the Financial Industry PCAF Standard to estimate absolute emissions associated with balance sheet financing63.</w:t>
      </w:r>
    </w:p>
    <w:p w14:paraId="22A4437E" w14:textId="77777777" w:rsidR="00492985" w:rsidRDefault="00000000">
      <w:r>
        <w:lastRenderedPageBreak/>
        <w:t>The discussion of appropriate metrics to use for measuring sovereign emissions intensity is still ongoing, and SSEHG Group will continue to evaluate and improve its approach over time in line with emerging best practices.</w:t>
      </w:r>
    </w:p>
    <w:p w14:paraId="12BDEAFA" w14:textId="77777777" w:rsidR="00492985" w:rsidRDefault="00000000">
      <w:r>
        <w:t>We will consider expanding to include Scope 3 of counterparties as data availability improves and we consider reporting different metrics.</w:t>
      </w:r>
    </w:p>
    <w:p w14:paraId="1AEC471F" w14:textId="77777777" w:rsidR="00492985" w:rsidRDefault="00000000">
      <w:r>
        <w:t>While this approach aims to increase the instances in which emissions and holdings data are aligned, results will still be impacted to an extent by this timing mismatch.</w:t>
      </w:r>
    </w:p>
    <w:p w14:paraId="757142FB" w14:textId="77777777" w:rsidR="00492985" w:rsidRDefault="00000000">
      <w:r>
        <w:t>SSC expects this issue to improve over time as third party data sources integrate more automated product solutions and climate reporting continues to become more standardized.</w:t>
      </w:r>
    </w:p>
    <w:p w14:paraId="15238568" w14:textId="77777777" w:rsidR="00492985" w:rsidRDefault="00000000">
      <w:r>
        <w:t>Sensitivity to Other Variables, This is the first year SSEHG Group has measured emissions associated with its financing activity based on the above-described approach.</w:t>
      </w:r>
    </w:p>
    <w:p w14:paraId="0EC1A1C1" w14:textId="77777777" w:rsidR="00492985" w:rsidRDefault="00000000">
      <w:r>
        <w:t>For the initial reporting as per YE 2022, the results of the ECB Short Term Exercise STE from the Climate Risk template had been taken into consideration for reporting on Scope 3 GHG emission data.</w:t>
      </w:r>
    </w:p>
    <w:sectPr w:rsidR="00492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61976405">
    <w:abstractNumId w:val="8"/>
  </w:num>
  <w:num w:numId="2" w16cid:durableId="1213730395">
    <w:abstractNumId w:val="6"/>
  </w:num>
  <w:num w:numId="3" w16cid:durableId="383137976">
    <w:abstractNumId w:val="5"/>
  </w:num>
  <w:num w:numId="4" w16cid:durableId="1495608281">
    <w:abstractNumId w:val="4"/>
  </w:num>
  <w:num w:numId="5" w16cid:durableId="688877781">
    <w:abstractNumId w:val="7"/>
  </w:num>
  <w:num w:numId="6" w16cid:durableId="173686236">
    <w:abstractNumId w:val="3"/>
  </w:num>
  <w:num w:numId="7" w16cid:durableId="543639457">
    <w:abstractNumId w:val="2"/>
  </w:num>
  <w:num w:numId="8" w16cid:durableId="609894426">
    <w:abstractNumId w:val="1"/>
  </w:num>
  <w:num w:numId="9" w16cid:durableId="212534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985"/>
    <w:rsid w:val="004F26A7"/>
    <w:rsid w:val="00672963"/>
    <w:rsid w:val="008D3063"/>
    <w:rsid w:val="00AA1D8D"/>
    <w:rsid w:val="00B44E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7ED7B"/>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6549</Words>
  <Characters>37330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2025-08-02T20:04:00Z</dcterms:modified>
  <cp:category/>
</cp:coreProperties>
</file>