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466B9" w14:textId="77777777" w:rsidR="005C29F9" w:rsidRDefault="00000000">
      <w:r>
        <w:t>In 2023, we helped municipalities, wellbeing services counties and housing sector customers navigate these changes and continued to support them in their financial forecasting and investment capacity assessments.</w:t>
      </w:r>
    </w:p>
    <w:p w14:paraId="5E457A02" w14:textId="77777777" w:rsidR="005C29F9" w:rsidRDefault="00000000">
      <w:r>
        <w:t>New strategy puts sustainability front and centre In 2023, we revised our strategy to further underline our core mandate.</w:t>
      </w:r>
    </w:p>
    <w:p w14:paraId="2A667E69" w14:textId="77777777" w:rsidR="005C29F9" w:rsidRDefault="00000000">
      <w:r>
        <w:t>Our revised strategy highlights sustainability and our role as an enabler of sustainable welfare in society.</w:t>
      </w:r>
    </w:p>
    <w:p w14:paraId="390C5A43" w14:textId="77777777" w:rsidR="005C29F9" w:rsidRDefault="00000000">
      <w:r>
        <w:t>In October, we published our sustainability agenda, which sets the framework and goals for our long-term sustainability work.</w:t>
      </w:r>
    </w:p>
    <w:p w14:paraId="29EF8732" w14:textId="77777777" w:rsidR="005C29F9" w:rsidRDefault="00000000">
      <w:r>
        <w:t>It sets an even clearer direction and goals for our sustainability work.</w:t>
      </w:r>
    </w:p>
    <w:p w14:paraId="65224E3F" w14:textId="77777777" w:rsidR="005C29F9" w:rsidRDefault="00000000">
      <w:r>
        <w:t>In 2023, we strengthened our hybrid work expertise by offering hybrid leadership training for supervisors and training on practices that promote successful hybrid work for our entire staff.</w:t>
      </w:r>
    </w:p>
    <w:p w14:paraId="7020B2DB" w14:textId="77777777" w:rsidR="005C29F9" w:rsidRDefault="00000000">
      <w:r>
        <w:t>We offer financing to environmentally sustainable and socially responsible projects, such as schools, day-care centres, hospitals, health centres and affordable housing.</w:t>
      </w:r>
    </w:p>
    <w:p w14:paraId="317A71F2" w14:textId="77777777" w:rsidR="005C29F9" w:rsidRDefault="00000000">
      <w:r>
        <w:t>We promote sustainable investments by offering a margin discount to investments that are especially friendly to the climate and environment or that produce widespread social benefits.</w:t>
      </w:r>
    </w:p>
    <w:p w14:paraId="41722A74" w14:textId="77777777" w:rsidR="005C29F9" w:rsidRDefault="00000000">
      <w:r>
        <w:t>Entitled ‘Enabler of sustainable welfare in society’, this agenda establishes the framework and goals for MuniFin’s long-term sustainability work.</w:t>
      </w:r>
    </w:p>
    <w:p w14:paraId="53D3804D" w14:textId="77777777" w:rsidR="005C29F9" w:rsidRDefault="00000000">
      <w:r>
        <w:t>Our updated strategy highlights sustainability, which is at the heart of our operations.</w:t>
      </w:r>
    </w:p>
    <w:p w14:paraId="73EDF3D8" w14:textId="77777777" w:rsidR="005C29F9" w:rsidRDefault="00000000">
      <w:r>
        <w:t>Our vision To be the main financing partner for our customers Our values Customer centricity, responsibility, transparency MuniFin’s core mandate is now more important than ever Strategy Our core mandate is to ensure that our customers have access to affordable financing under all market conditions.</w:t>
      </w:r>
    </w:p>
    <w:p w14:paraId="0AB09890" w14:textId="77777777" w:rsidR="005C29F9" w:rsidRDefault="00000000">
      <w:r>
        <w:t>The dynamic between the financial markets and the real economy has been permanently altered by international and national sustainable development goals and increasing regulation.</w:t>
      </w:r>
    </w:p>
    <w:p w14:paraId="33D97FCA" w14:textId="77777777" w:rsidR="005C29F9" w:rsidRDefault="00000000">
      <w:r>
        <w:t>Financial sector organisations are now in an even better position to redirect financial flows to investments that promote sustainable development.</w:t>
      </w:r>
    </w:p>
    <w:p w14:paraId="3A083A0E" w14:textId="77777777" w:rsidR="005C29F9" w:rsidRDefault="00000000">
      <w:r>
        <w:t>Our new sustainability agenda, entitled ‘Enabler of sustainable welfare in society’, focuses especially on our business operations and the impact achieved through them.</w:t>
      </w:r>
    </w:p>
    <w:p w14:paraId="68A80479" w14:textId="77777777" w:rsidR="005C29F9" w:rsidRDefault="00000000">
      <w:r>
        <w:t>It also crystallises our role and long-term sustainability goals.</w:t>
      </w:r>
    </w:p>
    <w:p w14:paraId="10C08A8C" w14:textId="77777777" w:rsidR="005C29F9" w:rsidRDefault="00000000">
      <w:r>
        <w:lastRenderedPageBreak/>
        <w:t>Our goal is to support the development of a sustainable welfare society and promote investments that are friendly for the climate and environment.</w:t>
      </w:r>
    </w:p>
    <w:p w14:paraId="458FE89D" w14:textId="77777777" w:rsidR="005C29F9" w:rsidRDefault="00000000">
      <w:r>
        <w:t>In the spring of 2023, we conducted a materiality analysis of sustainability topics and used the results when formulating our sustainability agenda’s two main themes and the related goals and indicators.</w:t>
      </w:r>
    </w:p>
    <w:p w14:paraId="3CDB9B03" w14:textId="77777777" w:rsidR="005C29F9" w:rsidRDefault="00000000">
      <w:r>
        <w:t>We are pursuing our goals by increasing the proportion of sustainable finance in our long-term customer finance portfolio and by reducing our financed emissions.</w:t>
      </w:r>
    </w:p>
    <w:p w14:paraId="4FD6A2F9" w14:textId="77777777" w:rsidR="005C29F9" w:rsidRDefault="00000000">
      <w:r>
        <w:t>Enabler of sustainable welfare in society MuniFin’s sustainability agenda Foundation of the Finnish welfare society Driver of the green transition Amount of social finance Amount of green finance Financed emissions from buildings Enabling the foundation for a sustainable welfare state Promoting investments that benefit the climate and environment Enabler of sustainable welfare in society 12/405 Year 2023 Report of the Board of Directors Consolidated Financial Statements Parent Company’s Financial Statements Municipality Finance Plc Annual Report 2023 Strategy / Sustainability Agenda Amount of sustainable finance spearheads our sustainability agenda The amount of sustainable finance offers a clear and commensurate measure of our impact and describes the sustainability of our operations.</w:t>
      </w:r>
    </w:p>
    <w:p w14:paraId="7836FEF9" w14:textId="77777777" w:rsidR="005C29F9" w:rsidRDefault="00000000">
      <w:r>
        <w:t>Commitment to continuous improvements Our sustainability work requires constant improvements, and these are not limited to the goals outlined in our sustainability agenda alone.</w:t>
      </w:r>
    </w:p>
    <w:p w14:paraId="70E09276" w14:textId="77777777" w:rsidR="005C29F9" w:rsidRDefault="00000000">
      <w:r>
        <w:t>Although the majority of our environmental impacts are indirect as they are created through the activities of our customers, we take environmental responsibility into consideration in our work by being committed to Sustainable development Sustainable development seeks to ensure people’s wellbeing within the limits of the planet’s carrying capacity.</w:t>
      </w:r>
    </w:p>
    <w:p w14:paraId="725FAA61" w14:textId="77777777" w:rsidR="005C29F9" w:rsidRDefault="00000000">
      <w:r>
        <w:t>A stable social foundation is a prerequisite for the achievement of climate goals.</w:t>
      </w:r>
    </w:p>
    <w:p w14:paraId="48599AC3" w14:textId="77777777" w:rsidR="000402C1" w:rsidRDefault="00000000">
      <w:r>
        <w:t>Financed emissions from buildings, emission intensity 8 kgCO₂e/m2 by 2035 Amount of green finance, 25% of our long-term customer finance portfolio by 2030</w:t>
      </w:r>
      <w:r w:rsidR="000402C1">
        <w:t>.</w:t>
      </w:r>
      <w:r>
        <w:t xml:space="preserve"> </w:t>
      </w:r>
    </w:p>
    <w:p w14:paraId="75DA1F62" w14:textId="77777777" w:rsidR="000402C1" w:rsidRDefault="000402C1">
      <w:r>
        <w:t>A</w:t>
      </w:r>
      <w:r w:rsidR="00000000">
        <w:t>mount of social finance, 8% of the long-term customer finance portfolio by 2030</w:t>
      </w:r>
      <w:r>
        <w:t>.</w:t>
      </w:r>
    </w:p>
    <w:p w14:paraId="0F0B81C2" w14:textId="77777777" w:rsidR="000402C1" w:rsidRDefault="00000000">
      <w:r>
        <w:t>Amount of sustainable finance, 25% of our long-term customer finance portfolio by 2027</w:t>
      </w:r>
      <w:r w:rsidR="000402C1">
        <w:t>.</w:t>
      </w:r>
    </w:p>
    <w:p w14:paraId="4F26F362" w14:textId="77777777" w:rsidR="005C29F9" w:rsidRDefault="00000000">
      <w:r>
        <w:t>We report on the climate and environmental impact of our operations on an annual basis.</w:t>
      </w:r>
    </w:p>
    <w:p w14:paraId="2453CAF9" w14:textId="77777777" w:rsidR="005C29F9" w:rsidRDefault="00000000">
      <w:r>
        <w:t>Ensuring the wellbeing of our employees and following responsible operating practices are absolutely crucial for achieving any of our goals.</w:t>
      </w:r>
    </w:p>
    <w:p w14:paraId="3D9E7A2A" w14:textId="77777777" w:rsidR="005C29F9" w:rsidRDefault="00000000">
      <w:r>
        <w:t>To ensure that it will achieve its environmental goals, the City wanted to take the project’s implementation into its own hands.</w:t>
      </w:r>
    </w:p>
    <w:p w14:paraId="03C17095" w14:textId="77777777" w:rsidR="005C29F9" w:rsidRDefault="00000000">
      <w:r>
        <w:lastRenderedPageBreak/>
        <w:t>In municipalities, 2023 was the first year when municipalities were no longer responsible for organising healthcare, social welfare and rescue services.</w:t>
      </w:r>
    </w:p>
    <w:p w14:paraId="2F08B702" w14:textId="77777777" w:rsidR="005C29F9" w:rsidRDefault="00000000">
      <w:r>
        <w:t>We also offer regular economic reports, training for our digital services and other events to support decision-making.</w:t>
      </w:r>
    </w:p>
    <w:p w14:paraId="7C618803" w14:textId="77777777" w:rsidR="005C29F9" w:rsidRDefault="00000000">
      <w:r>
        <w:t>The impacts of our sustainable finance are discussed in more detail in our Green Impact Report and Social Impact Report.</w:t>
      </w:r>
    </w:p>
    <w:p w14:paraId="44ABD573" w14:textId="77777777" w:rsidR="005C29F9" w:rsidRDefault="00000000">
      <w:r>
        <w:t>We have high regard for the work our customers are proactively doing to improve their sustainability.</w:t>
      </w:r>
    </w:p>
    <w:p w14:paraId="0F286815" w14:textId="77777777" w:rsidR="005C29F9" w:rsidRDefault="00000000">
      <w:r>
        <w:t>We also work actively to improve our own and our customers and stakeholders’ sustainability competence and commitments.</w:t>
      </w:r>
    </w:p>
    <w:p w14:paraId="1C2DB629" w14:textId="77777777" w:rsidR="005C29F9" w:rsidRDefault="00000000">
      <w:r>
        <w:t>In 2023, we were involved in a steering group set up by Rakennusteollisuuden Koulutuskeskus RATEKO, an organisation providing training in the construction industry, seeking to establish clear definitions and implementation measures for the criteria under the EU taxonomy for sustainable finance in the Finnish construction sector.</w:t>
      </w:r>
    </w:p>
    <w:p w14:paraId="20B21624" w14:textId="77777777" w:rsidR="005C29F9" w:rsidRDefault="00000000">
      <w:r>
        <w:t>Our goal is to systematically reduce the carbon footprint of our financed emissions, offer our customers more support with emission reductions and better manage the climate and environmental risks associated with our operations.</w:t>
      </w:r>
    </w:p>
    <w:p w14:paraId="6B083559" w14:textId="77777777" w:rsidR="005C29F9" w:rsidRDefault="00000000">
      <w:r>
        <w:t>We report the impact of our sustainable finance extensively Green finance promotes the achievement of climate targets In 2023, we granted a record amount of green finance.</w:t>
      </w:r>
    </w:p>
    <w:p w14:paraId="34F3821B" w14:textId="77777777" w:rsidR="005C29F9" w:rsidRDefault="00000000">
      <w:r>
        <w:t>Green Impact Report 2023 Our goal is to increase the proportion of our green finance to 25% of our long-term customer financing by 2030.</w:t>
      </w:r>
    </w:p>
    <w:p w14:paraId="7CD31980" w14:textId="77777777" w:rsidR="005C29F9" w:rsidRDefault="00000000">
      <w:r>
        <w:t>At the end of MuniFin’s Sustainable Investment Framework summarises the sustainability principles, processes and responsibilities of our investment operations.</w:t>
      </w:r>
    </w:p>
    <w:p w14:paraId="49863F95" w14:textId="77777777" w:rsidR="005C29F9" w:rsidRDefault="00000000">
      <w:r>
        <w:t>In 2023, we bolstered our successful hybrid culture by giving everyone training and support in hybrid working practices and the use of modern tools.</w:t>
      </w:r>
    </w:p>
    <w:p w14:paraId="3E42092D" w14:textId="77777777" w:rsidR="005C29F9" w:rsidRDefault="00000000">
      <w:r>
        <w:t>To support communality and culture building, we have office days during which employees gather for a shared agenda and breakfast.</w:t>
      </w:r>
    </w:p>
    <w:p w14:paraId="0666D938" w14:textId="77777777" w:rsidR="005C29F9" w:rsidRDefault="00000000">
      <w:r>
        <w:t>Our employees have been closely involved in planning and implementing measures to improve our employee experience.</w:t>
      </w:r>
    </w:p>
    <w:p w14:paraId="32A7F2F7" w14:textId="77777777" w:rsidR="005C29F9" w:rsidRDefault="00000000">
      <w:r>
        <w:t>We have wanted to increase interaction and influencing opportunities by dedicating certain afternoons to development work.</w:t>
      </w:r>
    </w:p>
    <w:p w14:paraId="7020BB5B" w14:textId="77777777" w:rsidR="005C29F9" w:rsidRDefault="00000000">
      <w:r>
        <w:t>We have also organised training for steering group members and project managers and improved our development tools, practices and reporting.</w:t>
      </w:r>
    </w:p>
    <w:p w14:paraId="32C072CB" w14:textId="77777777" w:rsidR="005C29F9" w:rsidRDefault="00000000">
      <w:r>
        <w:lastRenderedPageBreak/>
        <w:t>In updating our strategy, we established skills development as one of our strategic cornerstones.</w:t>
      </w:r>
    </w:p>
    <w:p w14:paraId="1C009C68" w14:textId="77777777" w:rsidR="005C29F9" w:rsidRDefault="00000000">
      <w:r>
        <w:t>We cherish community spirit and are committed to our shared values and goals.</w:t>
      </w:r>
    </w:p>
    <w:p w14:paraId="5E7D0045" w14:textId="77777777" w:rsidR="005C29F9" w:rsidRDefault="00000000">
      <w:r>
        <w:t>We want all our employees to reach their full potential and continue to develop their expertise.</w:t>
      </w:r>
    </w:p>
    <w:p w14:paraId="7C8043A2" w14:textId="77777777" w:rsidR="005C29F9" w:rsidRDefault="00000000">
      <w:r>
        <w:t>Employees by age Gender pay gap in similar positions 10% 36% 22% 5% 27% 31/405 Year 2023 Report of the Board of Directors Consolidated Financial Statements Parent Company’s Financial Statements Municipality Finance Plc Annual Report 2023 Organisation / Personnel Our objective is to promote diversity at all levels of the organisation.</w:t>
      </w:r>
    </w:p>
    <w:p w14:paraId="5FAFA59F" w14:textId="77777777" w:rsidR="005C29F9" w:rsidRDefault="00000000">
      <w:r>
        <w:t>By acknowledging and valuing diversity, we can improve workplace wellbeing and productivity.</w:t>
      </w:r>
    </w:p>
    <w:p w14:paraId="7071A3B1" w14:textId="77777777" w:rsidR="005C29F9" w:rsidRDefault="00000000">
      <w:r>
        <w:t>We strive to promote the wellbeing of our employees and to prevent work-related stress and excessive workloads.</w:t>
      </w:r>
    </w:p>
    <w:p w14:paraId="52A1C2D2" w14:textId="77777777" w:rsidR="005C29F9" w:rsidRDefault="00000000">
      <w:r>
        <w:t>We support our employees at the different stages of their life and career, taking into account their different skills and needs.</w:t>
      </w:r>
    </w:p>
    <w:p w14:paraId="22BBE65B" w14:textId="77777777" w:rsidR="005C29F9" w:rsidRDefault="00000000">
      <w:r>
        <w:t>Age distribution and number of employees We strive to promote the wellbeing of our employees and to prevent work-related stress and excessive workloads.</w:t>
      </w:r>
    </w:p>
    <w:p w14:paraId="1D80F266" w14:textId="77777777" w:rsidR="005C29F9" w:rsidRDefault="00000000">
      <w:r>
        <w:t>Our commitment to strong corporate governance is emphasised in our key values and strategy and implemented in all our operations.</w:t>
      </w:r>
    </w:p>
    <w:p w14:paraId="76DFF583" w14:textId="77777777" w:rsidR="005C29F9" w:rsidRDefault="00000000">
      <w:r>
        <w:t>In terms of supervision, we have established clear processes to ensure that we respond to requests for information and implement the development measures required by the authorities, for example.</w:t>
      </w:r>
    </w:p>
    <w:p w14:paraId="08DAA737" w14:textId="77777777" w:rsidR="005C29F9" w:rsidRDefault="00000000">
      <w:r>
        <w:t>Sustainalytics ESG risk rating Violations of regulations Key sustainability indicators in governance In addition to internal control mechanisms, we have a compliance function that oversees our compliance with regulation based on an annual monitoring plan and provides internal guidance and support in compliance-related matters.</w:t>
      </w:r>
    </w:p>
    <w:p w14:paraId="474DAFCA" w14:textId="77777777" w:rsidR="005C29F9" w:rsidRDefault="00000000">
      <w:r>
        <w:t>Our operations are also guided by our Board-approved Sustainability Policy and ethical principles, which support decision-making especially when no binding rules or guidelines apply.</w:t>
      </w:r>
    </w:p>
    <w:p w14:paraId="0A5DA4D0" w14:textId="77777777" w:rsidR="005C29F9" w:rsidRDefault="00000000">
      <w:r>
        <w:t>Strong corporate governance also includes our HR policy.</w:t>
      </w:r>
    </w:p>
    <w:p w14:paraId="45887D87" w14:textId="77777777" w:rsidR="005C29F9" w:rsidRDefault="00000000">
      <w:r>
        <w:t>In the terms and conditions of employment, we comply with Finnish legislation and the collective agreement for the financial sector, ensuring fairness and legal compliance for all employees.</w:t>
      </w:r>
    </w:p>
    <w:p w14:paraId="20448634" w14:textId="77777777" w:rsidR="005C29F9" w:rsidRDefault="00000000">
      <w:r>
        <w:lastRenderedPageBreak/>
        <w:t>This membership demonstrates we are committed to operating in ways that meet and promote fundamental responsibilities in the areas of human rights, labour, environment and anti-corruption wherever they have a presence.</w:t>
      </w:r>
    </w:p>
    <w:p w14:paraId="7FDD2A6A" w14:textId="77777777" w:rsidR="005C29F9" w:rsidRDefault="00000000">
      <w:r>
        <w:t>Our commitment to strong corporate governance is emphasised in our key values and strategy and implemented in all our operations.</w:t>
      </w:r>
    </w:p>
    <w:p w14:paraId="62B1272E" w14:textId="77777777" w:rsidR="005C29F9" w:rsidRDefault="00000000">
      <w:r>
        <w:t>Our sustainability indicators are based on our strategy, the goals set out in our new sustainability agenda and the materiality analysis conducted in 2023.</w:t>
      </w:r>
    </w:p>
    <w:p w14:paraId="41390786" w14:textId="77777777" w:rsidR="005C29F9" w:rsidRDefault="00000000">
      <w:r>
        <w:t>In our materiality analysis, we used questionnaires and interviews to gauge what both external and internal stakeholder groups thought of different sustainability factors in terms of their impact materiality and financial materiality.</w:t>
      </w:r>
    </w:p>
    <w:p w14:paraId="43E2642A" w14:textId="77777777" w:rsidR="005C29F9" w:rsidRDefault="00000000">
      <w:r>
        <w:t>We reserve the right to add, remove or change the existing indicators and goals, but any changes must be in line with the key principles specified in our sustainability strategy.</w:t>
      </w:r>
    </w:p>
    <w:p w14:paraId="5F2979D8" w14:textId="77777777" w:rsidR="005C29F9" w:rsidRDefault="00000000">
      <w:r>
        <w:t>In addition to our Annual Report, we publish our Green Impact Report and Social Impact Report annually.</w:t>
      </w:r>
    </w:p>
    <w:p w14:paraId="55344476" w14:textId="77777777" w:rsidR="005C29F9" w:rsidRDefault="00000000">
      <w:r>
        <w:t>The main observations and measures related to tax issues and tax risks are reported to the Board of Directors.</w:t>
      </w:r>
    </w:p>
    <w:p w14:paraId="51333969" w14:textId="77777777" w:rsidR="005C29F9" w:rsidRDefault="00000000">
      <w:r>
        <w:t>By the end of 2030, the Group’s goal is to increase the share of green and social financing to one third of all long-term customer financing, and by the end of 2035 reduce emissions from financed properties by 38% from the 2022 level.</w:t>
      </w:r>
    </w:p>
    <w:p w14:paraId="352E431E" w14:textId="77777777" w:rsidR="005C29F9" w:rsidRDefault="00000000">
      <w:r>
        <w:t>According to MuniFin’s estimate, MuniFin’s temporary absence from the market may increase wellbeing services counties’ financing costs, which may not support the general goals of curbing the costs of the health and social services sector.</w:t>
      </w:r>
    </w:p>
    <w:p w14:paraId="4AD1A4CC" w14:textId="77777777" w:rsidR="005C29F9" w:rsidRDefault="00000000">
      <w:r>
        <w:t>The increase in costs was primarily driven by the Municipal Guarantee Board’s decision to change the guarantee commission of MuniFin’s funding from a fixed fee to a fee tied to the amount of guaranteed funding, which increased the sum considerably to EUR 13 million .</w:t>
      </w:r>
    </w:p>
    <w:p w14:paraId="67AC0A36" w14:textId="77777777" w:rsidR="005C29F9" w:rsidRDefault="00000000">
      <w:r>
        <w:t>With the health and social services reform, 2023 was the first year when municipalities were no longer responsible for organising healthcare, social welfare and rescue services and investments related to these services.</w:t>
      </w:r>
    </w:p>
    <w:p w14:paraId="4E10AD3B" w14:textId="77777777" w:rsidR="005C29F9" w:rsidRDefault="00000000">
      <w:r>
        <w:t>MuniFin also offers regular economic reports, training for its digital services and various events to support decision-making.</w:t>
      </w:r>
    </w:p>
    <w:p w14:paraId="70D294AF" w14:textId="77777777" w:rsidR="005C29F9" w:rsidRDefault="00000000">
      <w:r>
        <w:t>The goal in this work is to systematically reduce the carbon footprint of MuniFin’s financed emissions, offer customers support with emission reductions and better manage the climate and environmental risks associated with the Group’s operations.</w:t>
      </w:r>
    </w:p>
    <w:p w14:paraId="599EFF20" w14:textId="77777777" w:rsidR="005C29F9" w:rsidRDefault="00000000">
      <w:r>
        <w:lastRenderedPageBreak/>
        <w:t>MuniFin works actively to improve its own and its customers’ sustainability competence and commitments such as participating actively in working groups and in discussions promoting sustainability.</w:t>
      </w:r>
    </w:p>
    <w:p w14:paraId="43AE4AB6" w14:textId="77777777" w:rsidR="005C29F9" w:rsidRDefault="00000000">
      <w:r>
        <w:t>Concurrently with this Report of the Board of Directors and the Financial Statements, MuniFin Group publishes a separate Green Impact Report and Social Impact Report for 2023, which are both available on MuniFin’s website.</w:t>
      </w:r>
    </w:p>
    <w:p w14:paraId="10750B07" w14:textId="77777777" w:rsidR="005C29F9" w:rsidRDefault="00000000">
      <w:r>
        <w:t>Investor interest in sustainable finance products continues to increase, and regulation is also steering markets towards a more sustainable direction.</w:t>
      </w:r>
    </w:p>
    <w:p w14:paraId="7534B606" w14:textId="77777777" w:rsidR="005C29F9" w:rsidRDefault="00000000">
      <w:r>
        <w:t>The Group is committed to issuing new green and social bonds regularly.</w:t>
      </w:r>
    </w:p>
    <w:p w14:paraId="02380403" w14:textId="77777777" w:rsidR="005C29F9" w:rsidRDefault="00000000">
      <w:r>
        <w:t>The impact assessment entails some uncertainty because these regulatory changes are not yet interpreted in an established way.</w:t>
      </w:r>
    </w:p>
    <w:p w14:paraId="39FE95EC" w14:textId="77777777" w:rsidR="005C29F9" w:rsidRDefault="00000000">
      <w:r>
        <w:t>The objective of the strategy work was to clarify the interpretation of the Group’s core mandate in a changed operating environment and to integrate sustainability even more broadly to the Group’s operations.</w:t>
      </w:r>
    </w:p>
    <w:p w14:paraId="76CA465D" w14:textId="77777777" w:rsidR="005C29F9" w:rsidRDefault="00000000">
      <w:r>
        <w:t>MuniFin’s core mandate highlights the determined growth of customer benefits and the longterm focus, sustainability and ease of operations, without forgetting the interests of MuniFin’s owners.</w:t>
      </w:r>
    </w:p>
    <w:p w14:paraId="48FA6781" w14:textId="77777777" w:rsidR="005C29F9" w:rsidRDefault="00000000">
      <w:r>
        <w:t>The strategy contains key policies that guide MuniFin Group’s operations in terms of its core mandate, sustainability, skills development and operational development.</w:t>
      </w:r>
    </w:p>
    <w:p w14:paraId="49619428" w14:textId="77777777" w:rsidR="005C29F9" w:rsidRDefault="00000000">
      <w:r>
        <w:t>MuniFin has conservative risk management policies and maintains a strong risk-bearing capacity in both quantity and quality.</w:t>
      </w:r>
    </w:p>
    <w:p w14:paraId="3F7DA9A2" w14:textId="77777777" w:rsidR="005C29F9" w:rsidRDefault="00000000">
      <w:r>
        <w:t>The leverage ratio is calculated as a ratio between the institution’s Tier 1 capital and total exposure calculated based on the assets and off-balance sheet items as described in the regulatory framework.</w:t>
      </w:r>
    </w:p>
    <w:p w14:paraId="52E1834B" w14:textId="77777777" w:rsidR="005C29F9" w:rsidRDefault="00000000">
      <w:r>
        <w:t>MuniFin Group’s financial objectives 73/405 Year 2023 Report of the Board of Directors Consolidated Financial Statements Parent Company’s Financial Statements Municipality Finance Plc Annual Report 2023 Considering that MuniFin’s objective as a public development credit institution is not to maximise profits, the Group aims at a result that will ensure the Group’s ability to carry out its core mandate in the long term.</w:t>
      </w:r>
    </w:p>
    <w:p w14:paraId="3076AD1D" w14:textId="77777777" w:rsidR="005C29F9" w:rsidRDefault="00000000">
      <w:r>
        <w:t>According to the Group's assessment, its exposure to climate and environmental risks is low.</w:t>
      </w:r>
    </w:p>
    <w:p w14:paraId="53DBF558" w14:textId="77777777" w:rsidR="005C29F9" w:rsidRDefault="00000000">
      <w:r>
        <w:t>According to the Group’s assessment, the impact of climate and environmental risks on these operators for the Group is minor.</w:t>
      </w:r>
    </w:p>
    <w:p w14:paraId="38601992" w14:textId="77777777" w:rsidR="005C29F9" w:rsidRDefault="00000000">
      <w:r>
        <w:lastRenderedPageBreak/>
        <w:t>According to the Group’s assessment, environmental and climate risks are unlikely to manifest substantially in the short term, but they may have an adverse economic effect on the Group’s customers in the medium and long term.</w:t>
      </w:r>
    </w:p>
    <w:p w14:paraId="59C1BF65" w14:textId="77777777" w:rsidR="005C29F9" w:rsidRDefault="00000000">
      <w:r>
        <w:t>Although the Group assesses the climate and environmental risks to it as low, it recognises that as climate change progresses, the risks associated with it will increase and the uncertainty will rise.</w:t>
      </w:r>
    </w:p>
    <w:p w14:paraId="78D858DC" w14:textId="77777777" w:rsidR="005C29F9" w:rsidRDefault="00000000">
      <w:r>
        <w:t>The perceived low exposure to social risks stems from the lack of identified material risks related to non-compliance with labour laws, human rights or other aspects of social justice.</w:t>
      </w:r>
    </w:p>
    <w:p w14:paraId="1ED5E197" w14:textId="77777777" w:rsidR="005C29F9" w:rsidRDefault="00000000">
      <w:r>
        <w:t>In 2023, the Group continued to build its ESG risk management framework in line with regulatory requirements and feedback received from the European Central Bank.</w:t>
      </w:r>
    </w:p>
    <w:p w14:paraId="0E3C2677" w14:textId="77777777" w:rsidR="005C29F9" w:rsidRDefault="00000000">
      <w:r>
        <w:t>The governance policy is described in more detail on MuniFin’s website.</w:t>
      </w:r>
    </w:p>
    <w:p w14:paraId="349C5715" w14:textId="77777777" w:rsidR="005C29F9" w:rsidRDefault="00000000">
      <w:r>
        <w:t>The statement includes a description of the main features of the internal audit and risk management systems pertaining to the financial reporting process.</w:t>
      </w:r>
    </w:p>
    <w:p w14:paraId="6CC58EC7" w14:textId="77777777" w:rsidR="005C29F9" w:rsidRDefault="00000000">
      <w:r>
        <w:t>Salaries and remuneration The remuneration paid to MuniFin Group’s management and employees consists of fixed remuneration base salary and fringe benefits and a variable element based on the conditions of the remuneration scheme.</w:t>
      </w:r>
    </w:p>
    <w:p w14:paraId="72035370" w14:textId="77777777" w:rsidR="005C29F9" w:rsidRDefault="00000000">
      <w:r>
        <w:t>Events after the reporting period 81/405 Year 2023 Report of the Board of Directors Consolidated Financial Statements Parent Company’s Financial Statements Municipality Finance Plc Annual Report 2023 Outlook for 2024 The global economy is starting 2024 in a weakening economic cycle.</w:t>
      </w:r>
    </w:p>
    <w:p w14:paraId="04A4E627" w14:textId="77777777" w:rsidR="005C29F9" w:rsidRDefault="00000000">
      <w:r>
        <w:t>The higher-than-expected increase in health and social services expenditure and financing costs and the cyclical decrease in tax income are making public finances difficult to balance.</w:t>
      </w:r>
    </w:p>
    <w:p w14:paraId="451E2063" w14:textId="77777777" w:rsidR="005C29F9" w:rsidRDefault="00000000">
      <w:r>
        <w:t>These estimates are based on a current assessment of the development of MuniFin Group’s operations and the operating environment.</w:t>
      </w:r>
    </w:p>
    <w:p w14:paraId="2FCD54FA" w14:textId="77777777" w:rsidR="005C29F9" w:rsidRDefault="00000000">
      <w:r>
        <w:t>Net interest income 259 241 Commission income 2 2 Net income on financial instruments at fair value through profit or loss 39 45 Net income on financial assets at fair value through other comprehensive income 0 0 Other operating income 0 0 Income Year 2023 Report of the Board of Directors Consolidated Financial Statements Parent Company’s Financial Statements Municipality Finance Plc Annual Report 2023 Alternative Performance Measure Definition / Explanation Reconciliation Jan–Dec 2023 Jan–Dec 2022 EUR million Income excluding unrealised fair value changes Income excluding unrealised fair value changes reflects the Group’s operating income, of which the most significant is net interest income.</w:t>
      </w:r>
    </w:p>
    <w:p w14:paraId="42351D63" w14:textId="77777777" w:rsidR="00D7528F" w:rsidRDefault="00000000">
      <w:r>
        <w:t>Loans and advances to the public and public sector entities 32,022 29,144 Unrealised fair value changes 926 1,516 Long-term customer financing excluding unrealised fair value changes 32,948 30,660</w:t>
      </w:r>
      <w:r w:rsidR="00D7528F">
        <w:t>.</w:t>
      </w:r>
    </w:p>
    <w:p w14:paraId="47794719" w14:textId="77777777" w:rsidR="00D7528F" w:rsidRDefault="00000000">
      <w:r>
        <w:lastRenderedPageBreak/>
        <w:t xml:space="preserve"> Ratio of green finance and social finance to long-term customer financing excluding </w:t>
      </w:r>
      <w:proofErr w:type="spellStart"/>
      <w:r>
        <w:t>unrealised</w:t>
      </w:r>
      <w:proofErr w:type="spellEnd"/>
      <w:r>
        <w:t xml:space="preserve"> fair value changes</w:t>
      </w:r>
      <w:r w:rsidR="00D7528F">
        <w:t>.</w:t>
      </w:r>
    </w:p>
    <w:p w14:paraId="3C286457" w14:textId="64DB2DCF" w:rsidR="005C29F9" w:rsidRDefault="00000000">
      <w:r>
        <w:t xml:space="preserve"> Key indicator used in management reporting to describe MuniFin Group’s business volume.</w:t>
      </w:r>
    </w:p>
    <w:p w14:paraId="749E2742" w14:textId="77777777" w:rsidR="005C29F9" w:rsidRDefault="00000000">
      <w:r>
        <w:t>Events after the reporting period 118/405 Year 2023 Report of the Board of Directors Consolidated Financial Statements Parent Company’s Financial Statements Municipality Finance Plc Annual Report 2023 Note 1.</w:t>
      </w:r>
    </w:p>
    <w:p w14:paraId="7254FE04" w14:textId="77777777" w:rsidR="005C29F9" w:rsidRDefault="00000000">
      <w:r>
        <w:t>Capital adequacy information in compliance with Part Eight of the EU Capital Requirements Regulation No 575/2013 and its amending regulation No 876/2019 is presented in a Pillar III Disclosure Report which is a separate report from the Report of the Board of Directors and the Financial Statements.</w:t>
      </w:r>
    </w:p>
    <w:p w14:paraId="41A1E700" w14:textId="77777777" w:rsidR="005C29F9" w:rsidRDefault="00000000">
      <w:r>
        <w:t>This designation is made, if it eliminates or significantly reduces an accounting mismatch or if financial liabilities are both managed, and their performance evaluated on a fair value basis in accordance with a documented risk management or investment strategy.</w:t>
      </w:r>
    </w:p>
    <w:p w14:paraId="7B27B51A" w14:textId="77777777" w:rsidR="005C29F9" w:rsidRDefault="00000000">
      <w:r>
        <w:t>These consist of financial liabilities, which have been hedged according to the Group’s risk management policy, but to which fair value hedge accounting in accordance with IFRS 9 is not applied.</w:t>
      </w:r>
    </w:p>
    <w:p w14:paraId="3D5B98F0" w14:textId="77777777" w:rsidR="005C29F9" w:rsidRDefault="00000000">
      <w:r>
        <w:t>The Group has documented the hedge relationships within hedge accounting and they comply with the Group’s risk management objectives and strategy.</w:t>
      </w:r>
    </w:p>
    <w:p w14:paraId="7E06F7A4" w14:textId="77777777" w:rsidR="005C29F9" w:rsidRDefault="00000000">
      <w:r>
        <w:t>The framework is updated regularly, at least annually, and the Board of Directors of the Parent Company approves the document.</w:t>
      </w:r>
    </w:p>
    <w:p w14:paraId="6C574137" w14:textId="77777777" w:rsidR="005C29F9" w:rsidRDefault="00000000">
      <w:r>
        <w:t>Expected credit losses Average credit rating customer financing Single-name concentration customer financing Energy efficiency of real estate Climate-related &amp; environmental risk score municipality financing Share of green finance of all long-term customer financing Average credit rating liquidity portfolio Geographic concentration liquidity portfolio ESG score liquidity portfolio Stressed CCR derivative loss Market risk Total EVE risk Maintain a sound market risk profile appropriate for MuniFin’s business model.</w:t>
      </w:r>
    </w:p>
    <w:p w14:paraId="6A6DD7BC" w14:textId="77777777" w:rsidR="005C29F9" w:rsidRDefault="00000000">
      <w:r>
        <w:t>Total NII risk NII Basis risk FX risk Credit spread risk Fair value VaR Prudent valuation Operational risk Ouflow index of staff Maintain an effective operational control and compliance to support functional and responsible operations.</w:t>
      </w:r>
    </w:p>
    <w:p w14:paraId="12FA31C6" w14:textId="77777777" w:rsidR="005C29F9" w:rsidRDefault="00000000">
      <w:r>
        <w:t>MuniFin Group’s risk management and internal control practices and processes are developed continuously.</w:t>
      </w:r>
    </w:p>
    <w:p w14:paraId="235430AE" w14:textId="77777777" w:rsidR="005C29F9" w:rsidRDefault="00000000">
      <w:r>
        <w:t>During 2023, the development of ESG Environmental, Social, Governance risk capabilities have been continued in particular, and the Group has been preparing for the new disclosure requirements that came into force at the end of 2023.</w:t>
      </w:r>
    </w:p>
    <w:p w14:paraId="6FDC3C14" w14:textId="77777777" w:rsidR="005C29F9" w:rsidRDefault="00000000">
      <w:r>
        <w:t>The internal control framework is supported by controls of different processes.</w:t>
      </w:r>
    </w:p>
    <w:p w14:paraId="6EF9C64C" w14:textId="77777777" w:rsidR="005C29F9" w:rsidRDefault="00000000">
      <w:r>
        <w:lastRenderedPageBreak/>
        <w:t>The Board of Directors also makes all the far-reaching decisions related to the nature and scope of the activities.</w:t>
      </w:r>
    </w:p>
    <w:p w14:paraId="7F393530" w14:textId="77777777" w:rsidR="005C29F9" w:rsidRDefault="00000000">
      <w:r>
        <w:t>The Board may also establish other committees as necessary.</w:t>
      </w:r>
    </w:p>
    <w:p w14:paraId="50BA5BB6" w14:textId="77777777" w:rsidR="005C29F9" w:rsidRDefault="00000000">
      <w:r>
        <w:t>The purpose of the Audit Committee, as a preparatory body, is to assist the Board of Directors in duties related to financial reporting and internal control.</w:t>
      </w:r>
    </w:p>
    <w:p w14:paraId="185D36E7" w14:textId="77777777" w:rsidR="005C29F9" w:rsidRDefault="00000000">
      <w:r>
        <w:t>The Risk Committee is to estimate whether the prices for the services that tie up capital correspond with the Group’s business model and risk strategy and, in the event that this is not the case, to present a remedy plan to the Board.</w:t>
      </w:r>
    </w:p>
    <w:p w14:paraId="4B0FF0F8" w14:textId="77777777" w:rsidR="005C29F9" w:rsidRDefault="00000000">
      <w:r>
        <w:t>All employees who work in the first line of defence are responsible for the risk management of their own work.</w:t>
      </w:r>
    </w:p>
    <w:p w14:paraId="3D9C24A6" w14:textId="77777777" w:rsidR="005C29F9" w:rsidRDefault="00000000">
      <w:r>
        <w:t>The second line of defence includes Risk Management and Compliance functions.</w:t>
      </w:r>
    </w:p>
    <w:p w14:paraId="2A36C3E1" w14:textId="77777777" w:rsidR="005C29F9" w:rsidRDefault="00000000">
      <w:r>
        <w:t>In addition, the tasks include internal communication, training and advice for the staff to ensure compliance with the regulations, assessment of internal processes for ensuring compliance with the regulations as well as communication with the supervising authorities and monitoring the related actions within the Group.</w:t>
      </w:r>
    </w:p>
    <w:p w14:paraId="120564D6" w14:textId="77777777" w:rsidR="005C29F9" w:rsidRDefault="00000000">
      <w:r>
        <w:t>Furthermore, MuniFin Group is taking part in the ECB’s climate risk related stress test Fit-for-55, the goal of which is to assess the resilience of climate risk in the financial sector and gain insights into the capacity of the financial system to support the transition to a low-carbon economy under condition of stress.</w:t>
      </w:r>
    </w:p>
    <w:p w14:paraId="73FA0DE7" w14:textId="77777777" w:rsidR="005C29F9" w:rsidRDefault="00000000">
      <w:r>
        <w:t>Controlling capital adequacy is continuous and an essential part of the Group’s strategic planning process, which covers setting strategic goals, specifying development projects and making financial forecasts for the following years.</w:t>
      </w:r>
    </w:p>
    <w:p w14:paraId="5AF43E8B" w14:textId="77777777" w:rsidR="005C29F9" w:rsidRDefault="00000000">
      <w:r>
        <w:t>The capital adequacy requirement for credit risk is calculated using the standardised approach, and the capital adequacy requirement for operational risks using the 148/405 Year 2023 Report of the Board of Directors Consolidated Financial Statements Parent Company’s Financial Statements Municipality Finance Plc Annual Report 2023 basic indicator approach.</w:t>
      </w:r>
    </w:p>
    <w:p w14:paraId="67103C6D" w14:textId="77777777" w:rsidR="005C29F9" w:rsidRDefault="00000000">
      <w:r>
        <w:t>For derivatives, netting agreements, collateral agreements ISDA/Credit Support Annex and guarantees granted by the Municipal Guarantee Board are used for reducing the capital adequacy requirement related to the counterparty risk of derivative counterparties.</w:t>
      </w:r>
    </w:p>
    <w:p w14:paraId="74EB0AF2" w14:textId="77777777" w:rsidR="005C29F9" w:rsidRDefault="00000000">
      <w:r>
        <w:t>Risks and their significance are assessed annually as a part of the strategy process and in connection with annual assessment of the Board of Directors.</w:t>
      </w:r>
    </w:p>
    <w:p w14:paraId="780FCE96" w14:textId="77777777" w:rsidR="005C29F9" w:rsidRDefault="00000000">
      <w:r>
        <w:t>MuniFin’s core mandate highlights the determined growth of customer benefits and the long-term focus, sustainability and ease of operations, without forgetting the interests of MuniFin’s owners.</w:t>
      </w:r>
    </w:p>
    <w:p w14:paraId="11754742" w14:textId="77777777" w:rsidR="005C29F9" w:rsidRDefault="00000000">
      <w:r>
        <w:lastRenderedPageBreak/>
        <w:t>ILAAP is an integral part of the Group’s risk management framework that includes other strategic processes such as RAF, ICAAP, Recovery Plan and remuneration framework.</w:t>
      </w:r>
    </w:p>
    <w:p w14:paraId="5B3B5EB4" w14:textId="77777777" w:rsidR="005C29F9" w:rsidRDefault="00000000">
      <w:r>
        <w:t>MuniFin Group’s Credit risk policy and credit risk management practices rely significantly on this principle.</w:t>
      </w:r>
    </w:p>
    <w:p w14:paraId="0FAD1448" w14:textId="77777777" w:rsidR="005C29F9" w:rsidRDefault="00000000">
      <w:r>
        <w:t>Finnish municipalities and cities can also establish joint municipal authorities to provide services that they are legally required to provide for their citizens or undertake regional development activities.</w:t>
      </w:r>
    </w:p>
    <w:p w14:paraId="7DEFCF6A" w14:textId="77777777" w:rsidR="005C29F9" w:rsidRDefault="00000000">
      <w:r>
        <w:t>The analysis takes into account the environmental, social and governance risks insofar as information about the customer is available for assessment.</w:t>
      </w:r>
    </w:p>
    <w:p w14:paraId="73F51DB9" w14:textId="77777777" w:rsidR="005C29F9" w:rsidRDefault="00000000">
      <w:r>
        <w:t>The assessment highlights the potential impacts of climate and environmental risks, which may materialise to customers either directly as physical risks or as transition risks related to preparing for climate change.</w:t>
      </w:r>
    </w:p>
    <w:p w14:paraId="1D824AF4" w14:textId="77777777" w:rsidR="005C29F9" w:rsidRDefault="00000000">
      <w:r>
        <w:t>MuniFin Group’s Compliance continuously monitors the development of legislation and regulations issued by authorities relevant to the Group’s operations and ensures that any regulatory changes are appropriately responded to.</w:t>
      </w:r>
    </w:p>
    <w:p w14:paraId="2A823926" w14:textId="77777777" w:rsidR="005C29F9" w:rsidRDefault="00000000">
      <w:r>
        <w:t>The Group has significant information system and business process related projects aimed at improving the quality, efficiency and regulatory compliance of current operations.</w:t>
      </w:r>
    </w:p>
    <w:p w14:paraId="60D73DB8" w14:textId="77777777" w:rsidR="005C29F9" w:rsidRDefault="00000000">
      <w:r>
        <w:t>According to the Group’s assessment, its exposure to climate and environmental risks is low.</w:t>
      </w:r>
    </w:p>
    <w:p w14:paraId="3C67B0A8" w14:textId="77777777" w:rsidR="005C29F9" w:rsidRDefault="00000000">
      <w:r>
        <w:t>According to the Group’s assessment, environmental and climate risks are unlikely to manifest substantially in the short term, but they may have an adverse economic effect on the Group’s customers in the medium and long term.</w:t>
      </w:r>
    </w:p>
    <w:p w14:paraId="70F0FDB0" w14:textId="77777777" w:rsidR="005C29F9" w:rsidRDefault="00000000">
      <w:r>
        <w:t>Although the Group considers its environmental and climate risks low, the Group recognises that as the climate change progresses, the risks associated with it increase and the uncertainty rises.</w:t>
      </w:r>
    </w:p>
    <w:p w14:paraId="68412EEA" w14:textId="77777777" w:rsidR="005C29F9" w:rsidRDefault="00000000">
      <w:r>
        <w:t>The perceived low exposure to social risks stems from the lack of identified material risks related to non-compliance with labour laws, human rights or other aspects of social justice.</w:t>
      </w:r>
    </w:p>
    <w:p w14:paraId="27B1A917" w14:textId="77777777" w:rsidR="005C29F9" w:rsidRDefault="00000000">
      <w:r>
        <w:t>During 2023, the Group has continued to build its ESG risk management framework in line with regulatory requirements and feedback received from the European Central Bank.</w:t>
      </w:r>
    </w:p>
    <w:p w14:paraId="65B0A847" w14:textId="77777777" w:rsidR="005C29F9" w:rsidRDefault="00000000">
      <w:r>
        <w:t>More information related to Group’s risks is published in a Pillar III Disclosure Report, which is separate from this Report of the Board of Directors and the Financial Statements.</w:t>
      </w:r>
    </w:p>
    <w:p w14:paraId="45348C3A" w14:textId="77777777" w:rsidR="005C29F9" w:rsidRDefault="00000000">
      <w:r>
        <w:t>Increase in fee and commision expense was mainly due to the Municipal Guarantee Board’s decision to change the guarantee commission of MuniFin’s funding from a fixed fee to fee tied to the amount of guaranteed funding.</w:t>
      </w:r>
    </w:p>
    <w:p w14:paraId="0BF45E25" w14:textId="77777777" w:rsidR="005C29F9" w:rsidRDefault="00000000">
      <w:r>
        <w:lastRenderedPageBreak/>
        <w:t>Financial liabilities designated at fair value through profit or loss consist of financial liabilities, which have been hedged according to the Group’s risk management policy, but which are not subject to IFRS 9 standard fair value hedge accounting.</w:t>
      </w:r>
    </w:p>
    <w:p w14:paraId="38CC7973" w14:textId="77777777" w:rsidR="005C29F9" w:rsidRDefault="00000000">
      <w:r>
        <w:t>More information on the salary and remuneration principles are available on a separate Pillar III Disclosure Report from this Report of the Board of Directors and Financial Statements.</w:t>
      </w:r>
    </w:p>
    <w:p w14:paraId="175BF99C" w14:textId="77777777" w:rsidR="005C29F9" w:rsidRDefault="00000000">
      <w:r>
        <w:t>Salaries and remuneration The remuneration paid to the management and employees of MuniFin Group consists of a fixed remuneration base salary and fringe benefits and a variable remuneration based on the conditions of the remuneration system.</w:t>
      </w:r>
    </w:p>
    <w:p w14:paraId="3E839E6D" w14:textId="77777777" w:rsidR="005C29F9" w:rsidRDefault="00000000">
      <w:r>
        <w:t>The Remuneration Committee of the Board of Directors is responsible for preparatory work concerning the matters of the remuneration system.</w:t>
      </w:r>
    </w:p>
    <w:p w14:paraId="5A61A3BF" w14:textId="77777777" w:rsidR="005C29F9" w:rsidRDefault="00000000">
      <w:r>
        <w:t>Events after the reporting period MuniFin’s Board of Directors is not aware of any events having taken place after the end of the financial year that would have a material effect on the Group’s financial standing.</w:t>
      </w:r>
    </w:p>
    <w:p w14:paraId="6ED3C2A8" w14:textId="77777777" w:rsidR="005C29F9" w:rsidRDefault="00000000">
      <w:r>
        <w:t>Financial liabilities designated at fair value through profit or loss consist of financial liabilities, which have been hedged according to the Group’s risk management policy, but which are not subject to IFRS 9 fair value hedge accounting.</w:t>
      </w:r>
    </w:p>
    <w:p w14:paraId="4CDF92ED" w14:textId="77777777" w:rsidR="005C29F9" w:rsidRDefault="00000000">
      <w:r>
        <w:t>Valuation framework MuniFin has implemented a framework for the arrangements, activities and procedures with regards to the Company’s model risk management.</w:t>
      </w:r>
    </w:p>
    <w:p w14:paraId="38147D84" w14:textId="77777777" w:rsidR="005C29F9" w:rsidRDefault="00000000">
      <w:r>
        <w:t>To our best knowledge and understanding, the non-audit services that we have provided to the parent company and group companies are in compliance with laws and regulations applicable in Finland regarding these services, and we have not provided any prohibited non-audit services referred to in Article 5, of regulation 537/2014.</w:t>
      </w:r>
    </w:p>
    <w:p w14:paraId="05200E9E" w14:textId="77777777" w:rsidR="005C29F9" w:rsidRDefault="00000000">
      <w:r>
        <w:t>In preparing the financial statements, the Board of Directors and the Managing Director are responsible for assessing the parent company’s and the group’s ability to continue as a going concern, disclosing, as applicable, matters relating to going concern and using the going concern basis of accounting.</w:t>
      </w:r>
    </w:p>
    <w:p w14:paraId="39DD78D3" w14:textId="77777777" w:rsidR="005C29F9" w:rsidRDefault="00000000">
      <w:r>
        <w:t>As part of an audit in accordance with good auditing practice, we exercise professional judgment and maintain professional skepticism throughout the audit.</w:t>
      </w:r>
    </w:p>
    <w:p w14:paraId="0070FDB0" w14:textId="77777777" w:rsidR="005C29F9" w:rsidRDefault="00000000">
      <w:r>
        <w:t>We are responsible for the direction, supervision and performance of the group audit.</w:t>
      </w:r>
    </w:p>
    <w:p w14:paraId="09C103E9" w14:textId="77777777" w:rsidR="005C29F9" w:rsidRDefault="00000000">
      <w:r>
        <w:t>The proposal by the Board of Directors regarding the use of the profit shown in the balance sheet and the profit distribution is in compliance with the Limited Liability Companies Act.</w:t>
      </w:r>
    </w:p>
    <w:p w14:paraId="4CBFB33F" w14:textId="77777777" w:rsidR="005C29F9" w:rsidRDefault="00000000">
      <w:r>
        <w:t>We support that the Members of the Board of Directors and the Managing Director should be discharged from liability for the financial period audited by us.</w:t>
      </w:r>
    </w:p>
    <w:sectPr w:rsidR="005C29F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zo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zo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Zo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Zo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zo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Zoznamsodrkami"/>
      <w:lvlText w:val=""/>
      <w:lvlJc w:val="left"/>
      <w:pPr>
        <w:tabs>
          <w:tab w:val="num" w:pos="360"/>
        </w:tabs>
        <w:ind w:left="360" w:hanging="360"/>
      </w:pPr>
      <w:rPr>
        <w:rFonts w:ascii="Symbol" w:hAnsi="Symbol" w:hint="default"/>
      </w:rPr>
    </w:lvl>
  </w:abstractNum>
  <w:num w:numId="1" w16cid:durableId="1540166811">
    <w:abstractNumId w:val="8"/>
  </w:num>
  <w:num w:numId="2" w16cid:durableId="903301378">
    <w:abstractNumId w:val="6"/>
  </w:num>
  <w:num w:numId="3" w16cid:durableId="230309744">
    <w:abstractNumId w:val="5"/>
  </w:num>
  <w:num w:numId="4" w16cid:durableId="863980487">
    <w:abstractNumId w:val="4"/>
  </w:num>
  <w:num w:numId="5" w16cid:durableId="131679078">
    <w:abstractNumId w:val="7"/>
  </w:num>
  <w:num w:numId="6" w16cid:durableId="274289952">
    <w:abstractNumId w:val="3"/>
  </w:num>
  <w:num w:numId="7" w16cid:durableId="1611889742">
    <w:abstractNumId w:val="2"/>
  </w:num>
  <w:num w:numId="8" w16cid:durableId="922378589">
    <w:abstractNumId w:val="1"/>
  </w:num>
  <w:num w:numId="9" w16cid:durableId="5293380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02C1"/>
    <w:rsid w:val="0006063C"/>
    <w:rsid w:val="0015074B"/>
    <w:rsid w:val="001F31C1"/>
    <w:rsid w:val="0029639D"/>
    <w:rsid w:val="00326F90"/>
    <w:rsid w:val="005C29F9"/>
    <w:rsid w:val="005E7043"/>
    <w:rsid w:val="00AA1D8D"/>
    <w:rsid w:val="00B47730"/>
    <w:rsid w:val="00CB0664"/>
    <w:rsid w:val="00D7528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C6E9DA"/>
  <w14:defaultImageDpi w14:val="300"/>
  <w15:docId w15:val="{09875724-9D0E-9A4D-9EA8-55F97D788C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FC693F"/>
  </w:style>
  <w:style w:type="paragraph" w:styleId="Nadpis1">
    <w:name w:val="heading 1"/>
    <w:basedOn w:val="Normlny"/>
    <w:next w:val="Normlny"/>
    <w:link w:val="Nadpis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dpis2">
    <w:name w:val="heading 2"/>
    <w:basedOn w:val="Normlny"/>
    <w:next w:val="Normlny"/>
    <w:link w:val="Nadpis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y"/>
    <w:next w:val="Normlny"/>
    <w:link w:val="Nadpis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dpis4">
    <w:name w:val="heading 4"/>
    <w:basedOn w:val="Normlny"/>
    <w:next w:val="Normlny"/>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y"/>
    <w:next w:val="Normlny"/>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y"/>
    <w:next w:val="Normlny"/>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y"/>
    <w:next w:val="Normlny"/>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y"/>
    <w:next w:val="Normlny"/>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y"/>
    <w:next w:val="Normlny"/>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Hlavika">
    <w:name w:val="header"/>
    <w:basedOn w:val="Normlny"/>
    <w:link w:val="HlavikaChar"/>
    <w:uiPriority w:val="99"/>
    <w:unhideWhenUsed/>
    <w:rsid w:val="00E618BF"/>
    <w:pPr>
      <w:tabs>
        <w:tab w:val="center" w:pos="4680"/>
        <w:tab w:val="right" w:pos="9360"/>
      </w:tabs>
      <w:spacing w:after="0" w:line="240" w:lineRule="auto"/>
    </w:pPr>
  </w:style>
  <w:style w:type="character" w:customStyle="1" w:styleId="HlavikaChar">
    <w:name w:val="Hlavička Char"/>
    <w:basedOn w:val="Predvolenpsmoodseku"/>
    <w:link w:val="Hlavika"/>
    <w:uiPriority w:val="99"/>
    <w:rsid w:val="00E618BF"/>
  </w:style>
  <w:style w:type="paragraph" w:styleId="Pta">
    <w:name w:val="footer"/>
    <w:basedOn w:val="Normlny"/>
    <w:link w:val="PtaChar"/>
    <w:uiPriority w:val="99"/>
    <w:unhideWhenUsed/>
    <w:rsid w:val="00E618BF"/>
    <w:pPr>
      <w:tabs>
        <w:tab w:val="center" w:pos="4680"/>
        <w:tab w:val="right" w:pos="9360"/>
      </w:tabs>
      <w:spacing w:after="0" w:line="240" w:lineRule="auto"/>
    </w:pPr>
  </w:style>
  <w:style w:type="character" w:customStyle="1" w:styleId="PtaChar">
    <w:name w:val="Päta Char"/>
    <w:basedOn w:val="Predvolenpsmoodseku"/>
    <w:link w:val="Pta"/>
    <w:uiPriority w:val="99"/>
    <w:rsid w:val="00E618BF"/>
  </w:style>
  <w:style w:type="paragraph" w:styleId="Bezriadkovania">
    <w:name w:val="No Spacing"/>
    <w:uiPriority w:val="1"/>
    <w:qFormat/>
    <w:rsid w:val="00FC693F"/>
    <w:pPr>
      <w:spacing w:after="0" w:line="240" w:lineRule="auto"/>
    </w:pPr>
  </w:style>
  <w:style w:type="character" w:customStyle="1" w:styleId="Nadpis1Char">
    <w:name w:val="Nadpis 1 Char"/>
    <w:basedOn w:val="Predvolenpsmoodseku"/>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Predvolenpsmoodseku"/>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Predvolenpsmoodseku"/>
    <w:link w:val="Nadpis3"/>
    <w:uiPriority w:val="9"/>
    <w:rsid w:val="00FC693F"/>
    <w:rPr>
      <w:rFonts w:asciiTheme="majorHAnsi" w:eastAsiaTheme="majorEastAsia" w:hAnsiTheme="majorHAnsi" w:cstheme="majorBidi"/>
      <w:b/>
      <w:bCs/>
      <w:color w:val="4F81BD" w:themeColor="accent1"/>
    </w:rPr>
  </w:style>
  <w:style w:type="paragraph" w:styleId="Nzov">
    <w:name w:val="Title"/>
    <w:basedOn w:val="Normlny"/>
    <w:next w:val="Normlny"/>
    <w:link w:val="Nzo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ovChar">
    <w:name w:val="Názov Char"/>
    <w:basedOn w:val="Predvolenpsmoodseku"/>
    <w:link w:val="Nzo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itul">
    <w:name w:val="Subtitle"/>
    <w:basedOn w:val="Normlny"/>
    <w:next w:val="Normlny"/>
    <w:link w:val="Podtitu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itulChar">
    <w:name w:val="Podtitul Char"/>
    <w:basedOn w:val="Predvolenpsmoodseku"/>
    <w:link w:val="Podtitul"/>
    <w:uiPriority w:val="11"/>
    <w:rsid w:val="00FC693F"/>
    <w:rPr>
      <w:rFonts w:asciiTheme="majorHAnsi" w:eastAsiaTheme="majorEastAsia" w:hAnsiTheme="majorHAnsi" w:cstheme="majorBidi"/>
      <w:i/>
      <w:iCs/>
      <w:color w:val="4F81BD" w:themeColor="accent1"/>
      <w:spacing w:val="15"/>
      <w:sz w:val="24"/>
      <w:szCs w:val="24"/>
    </w:rPr>
  </w:style>
  <w:style w:type="paragraph" w:styleId="Odsekzoznamu">
    <w:name w:val="List Paragraph"/>
    <w:basedOn w:val="Normlny"/>
    <w:uiPriority w:val="34"/>
    <w:qFormat/>
    <w:rsid w:val="00FC693F"/>
    <w:pPr>
      <w:ind w:left="720"/>
      <w:contextualSpacing/>
    </w:pPr>
  </w:style>
  <w:style w:type="paragraph" w:styleId="Zkladntext">
    <w:name w:val="Body Text"/>
    <w:basedOn w:val="Normlny"/>
    <w:link w:val="ZkladntextChar"/>
    <w:uiPriority w:val="99"/>
    <w:unhideWhenUsed/>
    <w:rsid w:val="00AA1D8D"/>
    <w:pPr>
      <w:spacing w:after="120"/>
    </w:pPr>
  </w:style>
  <w:style w:type="character" w:customStyle="1" w:styleId="ZkladntextChar">
    <w:name w:val="Základný text Char"/>
    <w:basedOn w:val="Predvolenpsmoodseku"/>
    <w:link w:val="Zkladntext"/>
    <w:uiPriority w:val="99"/>
    <w:rsid w:val="00AA1D8D"/>
  </w:style>
  <w:style w:type="paragraph" w:styleId="Zkladntext2">
    <w:name w:val="Body Text 2"/>
    <w:basedOn w:val="Normlny"/>
    <w:link w:val="Zkladntext2Char"/>
    <w:uiPriority w:val="99"/>
    <w:unhideWhenUsed/>
    <w:rsid w:val="00AA1D8D"/>
    <w:pPr>
      <w:spacing w:after="120" w:line="480" w:lineRule="auto"/>
    </w:pPr>
  </w:style>
  <w:style w:type="character" w:customStyle="1" w:styleId="Zkladntext2Char">
    <w:name w:val="Základný text 2 Char"/>
    <w:basedOn w:val="Predvolenpsmoodseku"/>
    <w:link w:val="Zkladntext2"/>
    <w:uiPriority w:val="99"/>
    <w:rsid w:val="00AA1D8D"/>
  </w:style>
  <w:style w:type="paragraph" w:styleId="Zkladntext3">
    <w:name w:val="Body Text 3"/>
    <w:basedOn w:val="Normlny"/>
    <w:link w:val="Zkladntext3Char"/>
    <w:uiPriority w:val="99"/>
    <w:unhideWhenUsed/>
    <w:rsid w:val="00AA1D8D"/>
    <w:pPr>
      <w:spacing w:after="120"/>
    </w:pPr>
    <w:rPr>
      <w:sz w:val="16"/>
      <w:szCs w:val="16"/>
    </w:rPr>
  </w:style>
  <w:style w:type="character" w:customStyle="1" w:styleId="Zkladntext3Char">
    <w:name w:val="Základný text 3 Char"/>
    <w:basedOn w:val="Predvolenpsmoodseku"/>
    <w:link w:val="Zkladntext3"/>
    <w:uiPriority w:val="99"/>
    <w:rsid w:val="00AA1D8D"/>
    <w:rPr>
      <w:sz w:val="16"/>
      <w:szCs w:val="16"/>
    </w:rPr>
  </w:style>
  <w:style w:type="paragraph" w:styleId="Zoznam">
    <w:name w:val="List"/>
    <w:basedOn w:val="Normlny"/>
    <w:uiPriority w:val="99"/>
    <w:unhideWhenUsed/>
    <w:rsid w:val="00AA1D8D"/>
    <w:pPr>
      <w:ind w:left="360" w:hanging="360"/>
      <w:contextualSpacing/>
    </w:pPr>
  </w:style>
  <w:style w:type="paragraph" w:styleId="Zoznam2">
    <w:name w:val="List 2"/>
    <w:basedOn w:val="Normlny"/>
    <w:uiPriority w:val="99"/>
    <w:unhideWhenUsed/>
    <w:rsid w:val="00326F90"/>
    <w:pPr>
      <w:ind w:left="720" w:hanging="360"/>
      <w:contextualSpacing/>
    </w:pPr>
  </w:style>
  <w:style w:type="paragraph" w:styleId="Zoznam3">
    <w:name w:val="List 3"/>
    <w:basedOn w:val="Normlny"/>
    <w:uiPriority w:val="99"/>
    <w:unhideWhenUsed/>
    <w:rsid w:val="00326F90"/>
    <w:pPr>
      <w:ind w:left="1080" w:hanging="360"/>
      <w:contextualSpacing/>
    </w:pPr>
  </w:style>
  <w:style w:type="paragraph" w:styleId="Zoznamsodrkami">
    <w:name w:val="List Bullet"/>
    <w:basedOn w:val="Normlny"/>
    <w:uiPriority w:val="99"/>
    <w:unhideWhenUsed/>
    <w:rsid w:val="00326F90"/>
    <w:pPr>
      <w:numPr>
        <w:numId w:val="1"/>
      </w:numPr>
      <w:contextualSpacing/>
    </w:pPr>
  </w:style>
  <w:style w:type="paragraph" w:styleId="Zoznamsodrkami2">
    <w:name w:val="List Bullet 2"/>
    <w:basedOn w:val="Normlny"/>
    <w:uiPriority w:val="99"/>
    <w:unhideWhenUsed/>
    <w:rsid w:val="00326F90"/>
    <w:pPr>
      <w:numPr>
        <w:numId w:val="2"/>
      </w:numPr>
      <w:contextualSpacing/>
    </w:pPr>
  </w:style>
  <w:style w:type="paragraph" w:styleId="Zoznamsodrkami3">
    <w:name w:val="List Bullet 3"/>
    <w:basedOn w:val="Normlny"/>
    <w:uiPriority w:val="99"/>
    <w:unhideWhenUsed/>
    <w:rsid w:val="00326F90"/>
    <w:pPr>
      <w:numPr>
        <w:numId w:val="3"/>
      </w:numPr>
      <w:contextualSpacing/>
    </w:pPr>
  </w:style>
  <w:style w:type="paragraph" w:styleId="slovanzoznam">
    <w:name w:val="List Number"/>
    <w:basedOn w:val="Normlny"/>
    <w:uiPriority w:val="99"/>
    <w:unhideWhenUsed/>
    <w:rsid w:val="00326F90"/>
    <w:pPr>
      <w:numPr>
        <w:numId w:val="5"/>
      </w:numPr>
      <w:contextualSpacing/>
    </w:pPr>
  </w:style>
  <w:style w:type="paragraph" w:styleId="slovanzoznam2">
    <w:name w:val="List Number 2"/>
    <w:basedOn w:val="Normlny"/>
    <w:uiPriority w:val="99"/>
    <w:unhideWhenUsed/>
    <w:rsid w:val="0029639D"/>
    <w:pPr>
      <w:numPr>
        <w:numId w:val="6"/>
      </w:numPr>
      <w:contextualSpacing/>
    </w:pPr>
  </w:style>
  <w:style w:type="paragraph" w:styleId="slovanzoznam3">
    <w:name w:val="List Number 3"/>
    <w:basedOn w:val="Normlny"/>
    <w:uiPriority w:val="99"/>
    <w:unhideWhenUsed/>
    <w:rsid w:val="0029639D"/>
    <w:pPr>
      <w:numPr>
        <w:numId w:val="7"/>
      </w:numPr>
      <w:contextualSpacing/>
    </w:pPr>
  </w:style>
  <w:style w:type="paragraph" w:styleId="Pokraovaniezoznamu">
    <w:name w:val="List Continue"/>
    <w:basedOn w:val="Normlny"/>
    <w:uiPriority w:val="99"/>
    <w:unhideWhenUsed/>
    <w:rsid w:val="0029639D"/>
    <w:pPr>
      <w:spacing w:after="120"/>
      <w:ind w:left="360"/>
      <w:contextualSpacing/>
    </w:pPr>
  </w:style>
  <w:style w:type="paragraph" w:styleId="Pokraovaniezoznamu2">
    <w:name w:val="List Continue 2"/>
    <w:basedOn w:val="Normlny"/>
    <w:uiPriority w:val="99"/>
    <w:unhideWhenUsed/>
    <w:rsid w:val="0029639D"/>
    <w:pPr>
      <w:spacing w:after="120"/>
      <w:ind w:left="720"/>
      <w:contextualSpacing/>
    </w:pPr>
  </w:style>
  <w:style w:type="paragraph" w:styleId="Pokraovaniezoznamu3">
    <w:name w:val="List Continue 3"/>
    <w:basedOn w:val="Normlny"/>
    <w:uiPriority w:val="99"/>
    <w:unhideWhenUsed/>
    <w:rsid w:val="0029639D"/>
    <w:pPr>
      <w:spacing w:after="120"/>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Predvolenpsmoodseku"/>
    <w:link w:val="Textmakra"/>
    <w:uiPriority w:val="99"/>
    <w:rsid w:val="0029639D"/>
    <w:rPr>
      <w:rFonts w:ascii="Courier" w:hAnsi="Courier"/>
      <w:sz w:val="20"/>
      <w:szCs w:val="20"/>
    </w:rPr>
  </w:style>
  <w:style w:type="paragraph" w:styleId="Citcia">
    <w:name w:val="Quote"/>
    <w:basedOn w:val="Normlny"/>
    <w:next w:val="Normlny"/>
    <w:link w:val="CitciaChar"/>
    <w:uiPriority w:val="29"/>
    <w:qFormat/>
    <w:rsid w:val="00FC693F"/>
    <w:rPr>
      <w:i/>
      <w:iCs/>
      <w:color w:val="000000" w:themeColor="text1"/>
    </w:rPr>
  </w:style>
  <w:style w:type="character" w:customStyle="1" w:styleId="CitciaChar">
    <w:name w:val="Citácia Char"/>
    <w:basedOn w:val="Predvolenpsmoodseku"/>
    <w:link w:val="Citcia"/>
    <w:uiPriority w:val="29"/>
    <w:rsid w:val="00FC693F"/>
    <w:rPr>
      <w:i/>
      <w:iCs/>
      <w:color w:val="000000" w:themeColor="text1"/>
    </w:rPr>
  </w:style>
  <w:style w:type="character" w:customStyle="1" w:styleId="Nadpis4Char">
    <w:name w:val="Nadpis 4 Char"/>
    <w:basedOn w:val="Predvolenpsmoodseku"/>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Predvolenpsmoodseku"/>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Predvolenpsmoodseku"/>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Predvolenpsmoodseku"/>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Predvolenpsmoodseku"/>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Predvolenpsmoodseku"/>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Popis">
    <w:name w:val="caption"/>
    <w:basedOn w:val="Normlny"/>
    <w:next w:val="Normlny"/>
    <w:uiPriority w:val="35"/>
    <w:semiHidden/>
    <w:unhideWhenUsed/>
    <w:qFormat/>
    <w:rsid w:val="00FC693F"/>
    <w:pPr>
      <w:spacing w:line="240" w:lineRule="auto"/>
    </w:pPr>
    <w:rPr>
      <w:b/>
      <w:bCs/>
      <w:color w:val="4F81BD" w:themeColor="accent1"/>
      <w:sz w:val="18"/>
      <w:szCs w:val="18"/>
    </w:rPr>
  </w:style>
  <w:style w:type="character" w:styleId="Vrazn">
    <w:name w:val="Strong"/>
    <w:basedOn w:val="Predvolenpsmoodseku"/>
    <w:uiPriority w:val="22"/>
    <w:qFormat/>
    <w:rsid w:val="00FC693F"/>
    <w:rPr>
      <w:b/>
      <w:bCs/>
    </w:rPr>
  </w:style>
  <w:style w:type="character" w:styleId="Zvraznenie">
    <w:name w:val="Emphasis"/>
    <w:basedOn w:val="Predvolenpsmoodseku"/>
    <w:uiPriority w:val="20"/>
    <w:qFormat/>
    <w:rsid w:val="00FC693F"/>
    <w:rPr>
      <w:i/>
      <w:iCs/>
    </w:rPr>
  </w:style>
  <w:style w:type="paragraph" w:styleId="Zvraznencitcia">
    <w:name w:val="Intense Quote"/>
    <w:basedOn w:val="Normlny"/>
    <w:next w:val="Normlny"/>
    <w:link w:val="Zvraznencitci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ZvraznencitciaChar">
    <w:name w:val="Zvýraznená citácia Char"/>
    <w:basedOn w:val="Predvolenpsmoodseku"/>
    <w:link w:val="Zvraznencitcia"/>
    <w:uiPriority w:val="30"/>
    <w:rsid w:val="00FC693F"/>
    <w:rPr>
      <w:b/>
      <w:bCs/>
      <w:i/>
      <w:iCs/>
      <w:color w:val="4F81BD" w:themeColor="accent1"/>
    </w:rPr>
  </w:style>
  <w:style w:type="character" w:styleId="Jemnzvraznenie">
    <w:name w:val="Subtle Emphasis"/>
    <w:basedOn w:val="Predvolenpsmoodseku"/>
    <w:uiPriority w:val="19"/>
    <w:qFormat/>
    <w:rsid w:val="00FC693F"/>
    <w:rPr>
      <w:i/>
      <w:iCs/>
      <w:color w:val="808080" w:themeColor="text1" w:themeTint="7F"/>
    </w:rPr>
  </w:style>
  <w:style w:type="character" w:styleId="Intenzvnezvraznenie">
    <w:name w:val="Intense Emphasis"/>
    <w:basedOn w:val="Predvolenpsmoodseku"/>
    <w:uiPriority w:val="21"/>
    <w:qFormat/>
    <w:rsid w:val="00FC693F"/>
    <w:rPr>
      <w:b/>
      <w:bCs/>
      <w:i/>
      <w:iCs/>
      <w:color w:val="4F81BD" w:themeColor="accent1"/>
    </w:rPr>
  </w:style>
  <w:style w:type="character" w:styleId="Jemnodkaz">
    <w:name w:val="Subtle Reference"/>
    <w:basedOn w:val="Predvolenpsmoodseku"/>
    <w:uiPriority w:val="31"/>
    <w:qFormat/>
    <w:rsid w:val="00FC693F"/>
    <w:rPr>
      <w:smallCaps/>
      <w:color w:val="C0504D" w:themeColor="accent2"/>
      <w:u w:val="single"/>
    </w:rPr>
  </w:style>
  <w:style w:type="character" w:styleId="Zvraznenodkaz">
    <w:name w:val="Intense Reference"/>
    <w:basedOn w:val="Predvolenpsmoodseku"/>
    <w:uiPriority w:val="32"/>
    <w:qFormat/>
    <w:rsid w:val="00FC693F"/>
    <w:rPr>
      <w:b/>
      <w:bCs/>
      <w:smallCaps/>
      <w:color w:val="C0504D" w:themeColor="accent2"/>
      <w:spacing w:val="5"/>
      <w:u w:val="single"/>
    </w:rPr>
  </w:style>
  <w:style w:type="character" w:styleId="Nzovknihy">
    <w:name w:val="Book Title"/>
    <w:basedOn w:val="Predvolenpsmoodseku"/>
    <w:uiPriority w:val="33"/>
    <w:qFormat/>
    <w:rsid w:val="00FC693F"/>
    <w:rPr>
      <w:b/>
      <w:bCs/>
      <w:smallCaps/>
      <w:spacing w:val="5"/>
    </w:rPr>
  </w:style>
  <w:style w:type="paragraph" w:styleId="Hlavikaobsahu">
    <w:name w:val="TOC Heading"/>
    <w:basedOn w:val="Nadpis1"/>
    <w:next w:val="Normlny"/>
    <w:uiPriority w:val="39"/>
    <w:semiHidden/>
    <w:unhideWhenUsed/>
    <w:qFormat/>
    <w:rsid w:val="00FC693F"/>
    <w:pPr>
      <w:outlineLvl w:val="9"/>
    </w:pPr>
  </w:style>
  <w:style w:type="table" w:styleId="Mriekatabuky">
    <w:name w:val="Table Grid"/>
    <w:basedOn w:val="Normlnatabu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etlpodfarbenie">
    <w:name w:val="Light Shading"/>
    <w:basedOn w:val="Normlnatabu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etlpodfarbeniezvraznenie1">
    <w:name w:val="Light Shading Accent 1"/>
    <w:basedOn w:val="Normlnatabu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etlpodfarbeniezvraznenie2">
    <w:name w:val="Light Shading Accent 2"/>
    <w:basedOn w:val="Normlnatabu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etlpodfarbeniezvraznenie3">
    <w:name w:val="Light Shading Accent 3"/>
    <w:basedOn w:val="Normlnatabu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etlpodfarbeniezvraznenie4">
    <w:name w:val="Light Shading Accent 4"/>
    <w:basedOn w:val="Normlnatabu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etlpodfarbeniezvraznenie5">
    <w:name w:val="Light Shading Accent 5"/>
    <w:basedOn w:val="Normlnatabu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etlpodfarbeniezvraznenie6">
    <w:name w:val="Light Shading Accent 6"/>
    <w:basedOn w:val="Normlnatabu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etlzoznam">
    <w:name w:val="Light List"/>
    <w:basedOn w:val="Normlnatabu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etlzoznamzvraznenie1">
    <w:name w:val="Light List Accent 1"/>
    <w:basedOn w:val="Normlnatabu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etlzoznamzvraznenie2">
    <w:name w:val="Light List Accent 2"/>
    <w:basedOn w:val="Normlnatabu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etlzoznamzvraznenie3">
    <w:name w:val="Light List Accent 3"/>
    <w:basedOn w:val="Normlnatabu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etlzoznamzvraznenie4">
    <w:name w:val="Light List Accent 4"/>
    <w:basedOn w:val="Normlnatabu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etlzoznamzvraznenie5">
    <w:name w:val="Light List Accent 5"/>
    <w:basedOn w:val="Normlnatabu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etlzoznamzvraznenie6">
    <w:name w:val="Light List Accent 6"/>
    <w:basedOn w:val="Normlnatabu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etlmrieka">
    <w:name w:val="Light Grid"/>
    <w:basedOn w:val="Normlnatabu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etlmriekazvraznenie1">
    <w:name w:val="Light Grid Accent 1"/>
    <w:basedOn w:val="Normlnatabu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etlmriekazvraznenie2">
    <w:name w:val="Light Grid Accent 2"/>
    <w:basedOn w:val="Normlnatabu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etlmriekazvraznenie3">
    <w:name w:val="Light Grid Accent 3"/>
    <w:basedOn w:val="Normlnatabu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etlmriekazvraznenie4">
    <w:name w:val="Light Grid Accent 4"/>
    <w:basedOn w:val="Normlnatabu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etlmriekazvraznenie5">
    <w:name w:val="Light Grid Accent 5"/>
    <w:basedOn w:val="Normlnatabu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etlmriekazvraznenie6">
    <w:name w:val="Light Grid Accent 6"/>
    <w:basedOn w:val="Normlnatabu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rednpodfarbenie1">
    <w:name w:val="Medium Shading 1"/>
    <w:basedOn w:val="Normlnatabu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rednpodfarbenie1zvraznenie1">
    <w:name w:val="Medium Shading 1 Accent 1"/>
    <w:basedOn w:val="Normlnatabu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rednpodfarbenie1zvraznenie2">
    <w:name w:val="Medium Shading 1 Accent 2"/>
    <w:basedOn w:val="Normlnatabu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rednpodfarbenie1zvraznenie3">
    <w:name w:val="Medium Shading 1 Accent 3"/>
    <w:basedOn w:val="Normlnatabu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rednpodfarbenie1zvraznenie4">
    <w:name w:val="Medium Shading 1 Accent 4"/>
    <w:basedOn w:val="Normlnatabu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rednpodfarbenie1zvraznenie5">
    <w:name w:val="Medium Shading 1 Accent 5"/>
    <w:basedOn w:val="Normlnatabu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Farebnpodfarbenie1zvraznenie6">
    <w:name w:val="Medium Shading 1 Accent 6"/>
    <w:basedOn w:val="Normlnatabu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rednpodfarbenie2">
    <w:name w:val="Medium Shading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1">
    <w:name w:val="Medium Shading 2 Accent 1"/>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2">
    <w:name w:val="Medium Shading 2 Accent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3">
    <w:name w:val="Medium Shading 2 Accent 3"/>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4">
    <w:name w:val="Medium Shading 2 Accent 4"/>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5">
    <w:name w:val="Medium Shading 2 Accent 5"/>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Farebnpodfarbenie2zvraznenie6">
    <w:name w:val="Medium Shading 2 Accent 6"/>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zoznam1">
    <w:name w:val="Medium List 1"/>
    <w:basedOn w:val="Normlnatabu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rednzoznam1zvraznenie1">
    <w:name w:val="Medium List 1 Accent 1"/>
    <w:basedOn w:val="Normlnatabu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rednzoznam1zvraznenie2">
    <w:name w:val="Medium List 1 Accent 2"/>
    <w:basedOn w:val="Normlnatabu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rednzoznam1zvraznenie3">
    <w:name w:val="Medium List 1 Accent 3"/>
    <w:basedOn w:val="Normlnatabu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rednzoznam1zvraznenie4">
    <w:name w:val="Medium List 1 Accent 4"/>
    <w:basedOn w:val="Normlnatabu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rednzoznam1zvraznenie5">
    <w:name w:val="Medium List 1 Accent 5"/>
    <w:basedOn w:val="Normlnatabu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rednzoznam1zvraznenie6">
    <w:name w:val="Medium List 1 Accent 6"/>
    <w:basedOn w:val="Normlnatabu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rednzoznam2">
    <w:name w:val="Medium Lis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1">
    <w:name w:val="Medium List 2 Accent 1"/>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2">
    <w:name w:val="Medium List 2 Accen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3">
    <w:name w:val="Medium List 2 Accent 3"/>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4">
    <w:name w:val="Medium List 2 Accent 4"/>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5">
    <w:name w:val="Medium List 2 Accent 5"/>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6">
    <w:name w:val="Medium List 2 Accent 6"/>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mrieka1">
    <w:name w:val="Medium Grid 1"/>
    <w:basedOn w:val="Normlnatabu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rednmrieka1zvraznenie1">
    <w:name w:val="Medium Grid 1 Accent 1"/>
    <w:basedOn w:val="Normlnatabu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rednmrieka1zvraznenie2">
    <w:name w:val="Medium Grid 1 Accent 2"/>
    <w:basedOn w:val="Normlnatabu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rednmrieka1zvraznenie3">
    <w:name w:val="Medium Grid 1 Accent 3"/>
    <w:basedOn w:val="Normlnatabu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rednmrieka1zvraznenie4">
    <w:name w:val="Medium Grid 1 Accent 4"/>
    <w:basedOn w:val="Normlnatabu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rednmrieka1zvraznenie5">
    <w:name w:val="Medium Grid 1 Accent 5"/>
    <w:basedOn w:val="Normlnatabu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rednmrieka1zvraznenie6">
    <w:name w:val="Medium Grid 1 Accent 6"/>
    <w:basedOn w:val="Normlnatabu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rednmrieka2">
    <w:name w:val="Medium Grid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rednmrieka2zvraznenie1">
    <w:name w:val="Medium Grid 2 Accent 1"/>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rednmrieka2zvraznenie2">
    <w:name w:val="Medium Grid 2 Accent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rednmrieka2zvraznenie3">
    <w:name w:val="Medium Grid 2 Accent 3"/>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rednmrieka2zvraznenie4">
    <w:name w:val="Medium Grid 2 Accent 4"/>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rednmrieka2zvraznenie5">
    <w:name w:val="Medium Grid 2 Accent 5"/>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rednmrieka2zvraznenie6">
    <w:name w:val="Medium Grid 2 Accent 6"/>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rednmrieka3">
    <w:name w:val="Medium Grid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rednmrieka3zvraznenie1">
    <w:name w:val="Medium Grid 3 Accent 1"/>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rednmrieka3zvraznenie2">
    <w:name w:val="Medium Grid 3 Accent 2"/>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rednmrieka3zvraznenie3">
    <w:name w:val="Medium Grid 3 Accent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rednmrieka3zvraznenie4">
    <w:name w:val="Medium Grid 3 Accent 4"/>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rednmrieka3zvraznenie5">
    <w:name w:val="Medium Grid 3 Accent 5"/>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rednmrieka3zvraznenie6">
    <w:name w:val="Medium Grid 3 Accent 6"/>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zoznam">
    <w:name w:val="Dark List"/>
    <w:basedOn w:val="Normlnatabu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zoznamzvraznenie1">
    <w:name w:val="Dark List Accent 1"/>
    <w:basedOn w:val="Normlnatabu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zoznamzvraznenie2">
    <w:name w:val="Dark List Accent 2"/>
    <w:basedOn w:val="Normlnatabu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zoznamzvraznenie3">
    <w:name w:val="Dark List Accent 3"/>
    <w:basedOn w:val="Normlnatabu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zoznamzvraznenie4">
    <w:name w:val="Dark List Accent 4"/>
    <w:basedOn w:val="Normlnatabu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zoznamzvraznenie5">
    <w:name w:val="Dark List Accent 5"/>
    <w:basedOn w:val="Normlnatabu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zoznamzvraznenie6">
    <w:name w:val="Dark List Accent 6"/>
    <w:basedOn w:val="Normlnatabu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ebnpodfarbenie">
    <w:name w:val="Colorful Shading"/>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ebnpodfarbeniezvraznenie1">
    <w:name w:val="Colorful Shading Accent 1"/>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ebnpodfarbeniezvraznenie2">
    <w:name w:val="Colorful Shading Accent 2"/>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ebnpodfarbeniezvraznenie3">
    <w:name w:val="Colorful Shading Accent 3"/>
    <w:basedOn w:val="Normlnatabu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ebnpodfarbeniezvraznenie4">
    <w:name w:val="Colorful Shading Accent 4"/>
    <w:basedOn w:val="Normlnatabu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ebnpodfarbeniezvraznenie5">
    <w:name w:val="Colorful Shading Accent 5"/>
    <w:basedOn w:val="Normlnatabu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ebnpodfarbeniezvraznenie6">
    <w:name w:val="Colorful Shading Accent 6"/>
    <w:basedOn w:val="Normlnatabu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ebnzoznam">
    <w:name w:val="Colorful List"/>
    <w:basedOn w:val="Normlnatabu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ebnzoznamzvraznenie1">
    <w:name w:val="Colorful List Accent 1"/>
    <w:basedOn w:val="Normlnatabu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ebnzoznamzvraznenie2">
    <w:name w:val="Colorful List Accent 2"/>
    <w:basedOn w:val="Normlnatabu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ebnzoznamzvraznenie3">
    <w:name w:val="Colorful List Accent 3"/>
    <w:basedOn w:val="Normlnatabu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ebnzoznamzvraznenie4">
    <w:name w:val="Colorful List Accent 4"/>
    <w:basedOn w:val="Normlnatabu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ebnzoznamzvraznenie5">
    <w:name w:val="Colorful List Accent 5"/>
    <w:basedOn w:val="Normlnatabu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ebnzoznamzvraznenie6">
    <w:name w:val="Colorful List Accent 6"/>
    <w:basedOn w:val="Normlnatabu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ebnmrieka">
    <w:name w:val="Colorful Grid"/>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ebnmriekazvraznenie1">
    <w:name w:val="Colorful Grid Accent 1"/>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ebnmriekazvraznenie2">
    <w:name w:val="Colorful Grid Accent 2"/>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ebnmriekazvraznenie3">
    <w:name w:val="Colorful Grid Accent 3"/>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ebnmriekazvraznenie4">
    <w:name w:val="Colorful Grid Accent 4"/>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ebnmriekazvraznenie5">
    <w:name w:val="Colorful Grid Accent 5"/>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ebnmriekazvraznenie6">
    <w:name w:val="Colorful Grid Accent 6"/>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11</Pages>
  <Words>4071</Words>
  <Characters>23208</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27225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Mária Pappová</cp:lastModifiedBy>
  <cp:revision>4</cp:revision>
  <dcterms:created xsi:type="dcterms:W3CDTF">2013-12-23T23:15:00Z</dcterms:created>
  <dcterms:modified xsi:type="dcterms:W3CDTF">2025-07-30T18:14:00Z</dcterms:modified>
  <cp:category/>
</cp:coreProperties>
</file>