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FF9C" w14:textId="77777777" w:rsidR="00D47B2C" w:rsidRDefault="00000000">
      <w:r>
        <w:t>Our state-subsidised housing production system has proven effective in reducing homelessness and regional segregation, increasing the supply of affordable social housing in growth centres, advancing municipalities’ housing policy goals of ensuring a diverse housing structure, and providing high-quality The operating environment in global economy and international politics went through a whirlwind of changes in 2024.</w:t>
      </w:r>
    </w:p>
    <w:p w14:paraId="2E4EEB4D" w14:textId="77777777" w:rsidR="00D47B2C" w:rsidRDefault="00000000">
      <w:r>
        <w:t>Timely investments into affordable social housing production can also help level out construction cycles and support employment.</w:t>
      </w:r>
    </w:p>
    <w:p w14:paraId="24A5A478" w14:textId="77777777" w:rsidR="00D47B2C" w:rsidRDefault="00000000">
      <w:r>
        <w:t>Late in the year, we piloted our new financing product, a sustainable development loan, which we will be offering to municipalities that aim to reduce their greenhouse gas emissions in line with the goals set out in the Finnish Climate Act and their own climate plan starting in 2025.</w:t>
      </w:r>
    </w:p>
    <w:p w14:paraId="01A34B9E" w14:textId="77777777" w:rsidR="00D47B2C" w:rsidRDefault="00000000">
      <w:r>
        <w:t>Municipalities undertake such a massive amount of climate work that Finland could not reach its climate targets without the valuable work and example of our customers.</w:t>
      </w:r>
    </w:p>
    <w:p w14:paraId="70988C77" w14:textId="77777777" w:rsidR="00D47B2C" w:rsidRDefault="00000000">
      <w:r>
        <w:t>We offer financing to environmentally sustainable and socially responsible projects, such as schools, day-care centres, hospitals, health centres and affordable housing.</w:t>
      </w:r>
    </w:p>
    <w:p w14:paraId="2751A78C" w14:textId="77777777" w:rsidR="00D47B2C" w:rsidRDefault="00000000">
      <w:r>
        <w:t>We promote sustainable investments by offering a price discount to investments that are especially friendly to the climate and environment or that produce widespread social benefits.</w:t>
      </w:r>
    </w:p>
    <w:p w14:paraId="02955D89" w14:textId="77777777" w:rsidR="00D47B2C" w:rsidRDefault="00000000">
      <w:r>
        <w:t>If municipalities achieve their emission reduction targets, they will receive a margin discount.</w:t>
      </w:r>
    </w:p>
    <w:p w14:paraId="373202AC" w14:textId="77777777" w:rsidR="00D47B2C" w:rsidRDefault="00000000">
      <w:r>
        <w:t>Our vision To be the main financing partner for our customers Our values Customer centricity, responsibility, transparency Our core mandate is to safeguard the availability of affordable financing also in uncertain times Strategy We are the only credit institution in Finland that specialises in financing the municipal sector, affordable social housing production and wellbeing services counties.</w:t>
      </w:r>
    </w:p>
    <w:p w14:paraId="149D5948" w14:textId="77777777" w:rsidR="00D47B2C" w:rsidRDefault="00000000">
      <w:r>
        <w:t>It focuses on our business operations and the impact achieved through them and crystallises our long-term sustainability goals.</w:t>
      </w:r>
    </w:p>
    <w:p w14:paraId="7376CCA3" w14:textId="77777777" w:rsidR="00D47B2C" w:rsidRDefault="00000000">
      <w:r>
        <w:t>Our goals are to increase the proportion of sustainable finance in our long-term customer finance portfolio and to reduce our financed emissions from buildings.</w:t>
      </w:r>
    </w:p>
    <w:p w14:paraId="2F956CDF" w14:textId="77777777" w:rsidR="00D47B2C" w:rsidRDefault="00000000">
      <w:r>
        <w:t>Our sustainability work requires constant improvements, and these are not limited to the goals outlined in our sustainability agenda alone.</w:t>
      </w:r>
    </w:p>
    <w:p w14:paraId="127E70D2" w14:textId="77777777" w:rsidR="00D47B2C" w:rsidRDefault="00000000">
      <w:r>
        <w:t>Although the majority of our environmental impacts are indirect as they are created through the activities of our customers, we take environmental responsibility into consideration in our work by committing to following the Green Office environmental management system, compensating for our emissions and encouraging low-emission commuting.</w:t>
      </w:r>
    </w:p>
    <w:p w14:paraId="17BAD88C" w14:textId="77777777" w:rsidR="00D47B2C" w:rsidRDefault="00000000">
      <w:r>
        <w:lastRenderedPageBreak/>
        <w:t>Green Office workplaces are committed to continuously improving their environmental responsibility.</w:t>
      </w:r>
    </w:p>
    <w:p w14:paraId="7612256F" w14:textId="77777777" w:rsidR="00D47B2C" w:rsidRDefault="00000000">
      <w:r>
        <w:t>We report on the climate and environmental impact of our operations on an annual basis.</w:t>
      </w:r>
    </w:p>
    <w:p w14:paraId="31330478" w14:textId="77777777" w:rsidR="00D47B2C" w:rsidRDefault="00000000">
      <w:r>
        <w:t>Sustainability agenda sets impactful goals for our sustainability work MuniFin’s sustainability agenda Foundation of the Finnish welfare society Driver of the green transition Indicators, Amount of social finance Indicators, Amount of green finance Financed emissions from buildings Enabling the foundation for a sustainable welfare state Promoting investments that benefit the climate and environment Enabler of sustainable welfare in society Sustainable development Sustainable development seeks to ensure people’s wellbeing within the limits of the planet’s carrying capacity.</w:t>
      </w:r>
    </w:p>
    <w:p w14:paraId="0D3F2DB6" w14:textId="77777777" w:rsidR="00D47B2C" w:rsidRDefault="00000000">
      <w:r>
        <w:t>A stable social foundation is a prerequisite for the achievement of climate goals.</w:t>
      </w:r>
    </w:p>
    <w:p w14:paraId="4BC968D9" w14:textId="77777777" w:rsidR="00D47B2C" w:rsidRDefault="00000000">
      <w:r>
        <w:t>Indicators for our long-term goals Our strategic goal is for sustainable finance to account for 25% of our long-term customer finance portfolio by 2027.</w:t>
      </w:r>
    </w:p>
    <w:p w14:paraId="08C81C7C" w14:textId="77777777" w:rsidR="00D47B2C" w:rsidRDefault="00000000">
      <w:r>
        <w:t>We publish annual green and social impact reports on our website.</w:t>
      </w:r>
    </w:p>
    <w:p w14:paraId="7FF977BE" w14:textId="77777777" w:rsidR="00D47B2C" w:rsidRDefault="00000000">
      <w:r>
        <w:t>MuniFin is a member of the Partnership for Carbon Accounting Financials , a global partnership of financial institutions that work together to develop and implement a harmonised approach to assess and disclose the greenhouse gas emissions associated with their loans and investments.</w:t>
      </w:r>
    </w:p>
    <w:p w14:paraId="2073A4CB" w14:textId="77777777" w:rsidR="00D47B2C" w:rsidRDefault="00000000">
      <w:r>
        <w:t>As we joined the PCAF in 2022, we committed to measuring and disclosing the greenhouse gas emissions associated with our lending and liquidity portfolios by 2025.</w:t>
      </w:r>
    </w:p>
    <w:p w14:paraId="0F85C176" w14:textId="77777777" w:rsidR="00D47B2C" w:rsidRDefault="00000000">
      <w:r>
        <w:t>By focusing on reducing not just our direct emissions but also our financed emissions together with our customers, we can create a much larger positive impact.</w:t>
      </w:r>
    </w:p>
    <w:p w14:paraId="195B8ACF" w14:textId="77777777" w:rsidR="00D47B2C" w:rsidRDefault="00000000">
      <w:r>
        <w:t>As we develop emission calculations, the focus must be on constantly improving data quality, tracking goals and increasing customer interactions.</w:t>
      </w:r>
    </w:p>
    <w:p w14:paraId="67E8F0DA" w14:textId="77777777" w:rsidR="00D47B2C" w:rsidRDefault="00000000">
      <w:r>
        <w:t>Municipalities will receive a price discount if they achieve their emission reduction targets.</w:t>
      </w:r>
    </w:p>
    <w:p w14:paraId="6E6CCA3D" w14:textId="77777777" w:rsidR="00D47B2C" w:rsidRDefault="00000000">
      <w:r>
        <w:t>Our employees value how we offer them flexibility, support professional development and wellbeing and have a great workplace atmosphere.</w:t>
      </w:r>
    </w:p>
    <w:p w14:paraId="5E976757" w14:textId="77777777" w:rsidR="00D47B2C" w:rsidRDefault="00000000">
      <w:r>
        <w:t>Hybrid working has become a permanent fixture at MuniFin, and our employees value the model as an effective way to promote a healthy work-life balance.</w:t>
      </w:r>
    </w:p>
    <w:p w14:paraId="71646512" w14:textId="77777777" w:rsidR="00D47B2C" w:rsidRDefault="00000000">
      <w:r>
        <w:t>Skills development is one of the cornerstones of our strategy.</w:t>
      </w:r>
    </w:p>
    <w:p w14:paraId="33865608" w14:textId="77777777" w:rsidR="00D47B2C" w:rsidRDefault="00000000">
      <w:r>
        <w:t>We also redesigned our performance appraisal models to better address professional development needs.</w:t>
      </w:r>
    </w:p>
    <w:p w14:paraId="439F395D" w14:textId="77777777" w:rsidR="00D47B2C" w:rsidRDefault="00000000">
      <w:r>
        <w:lastRenderedPageBreak/>
        <w:t>Our employees appreciate the social significance, flexibility and attractiveness of their work, along with the positive workplace atmosphere and the employer support for professional development and wellbeing.</w:t>
      </w:r>
    </w:p>
    <w:p w14:paraId="4E687110" w14:textId="77777777" w:rsidR="00D47B2C" w:rsidRDefault="00000000">
      <w:r>
        <w:t>Equality, diversity and inclusion are vital to our corporate culture, and we promote them in accordance with our workplace development and equality and non-discrimination plans.</w:t>
      </w:r>
    </w:p>
    <w:p w14:paraId="17C64935" w14:textId="77777777" w:rsidR="00D47B2C" w:rsidRDefault="00000000">
      <w:r>
        <w:t>We cherish community spirit also by committing to our shared values and goals.</w:t>
      </w:r>
    </w:p>
    <w:p w14:paraId="2CF33A4A" w14:textId="77777777" w:rsidR="00D47B2C" w:rsidRDefault="00000000">
      <w:r>
        <w:t>Our commitment to strong corporate governance is emphasised in our key values and strategy and implemented in all our operations.</w:t>
      </w:r>
    </w:p>
    <w:p w14:paraId="0A100007" w14:textId="77777777" w:rsidR="00D47B2C" w:rsidRDefault="00000000">
      <w:r>
        <w:t>In addition to internal control mechanisms, we have a compliance function that oversees our compliance with regulation based on an annual monitoring plan and provides internal guidance and support in compliance-related matters.</w:t>
      </w:r>
    </w:p>
    <w:p w14:paraId="22DDC989" w14:textId="77777777" w:rsidR="00D47B2C" w:rsidRDefault="00000000">
      <w:r>
        <w:t>Our decision-making and responsibilities are set out in the Corporate Governance Policy approved by the Board of Directors and in the Corporate Governance Statement published annually.</w:t>
      </w:r>
    </w:p>
    <w:p w14:paraId="31896111" w14:textId="77777777" w:rsidR="00D47B2C" w:rsidRDefault="00000000">
      <w:r>
        <w:t>Our operations are also guided by our Board-approved Sustainability Policy and ethical principles, which support decision-making especially when no binding rules or guidelines apply.</w:t>
      </w:r>
    </w:p>
    <w:p w14:paraId="7E5D89E9" w14:textId="77777777" w:rsidR="00D47B2C" w:rsidRDefault="00000000">
      <w:r>
        <w:t>In the terms and conditions of employment, we comply with Finnish legislation and the Collective Agreement for the Financial Sector, ensuring fairness and legal compliance for all employees.</w:t>
      </w:r>
    </w:p>
    <w:p w14:paraId="6580AD72" w14:textId="77777777" w:rsidR="00D47B2C" w:rsidRDefault="00000000">
      <w:r>
        <w:t>This membership demonstrates we are committed to operating in ways that meet and promote fundamental responsibilities in the areas of human rights, labour, environment and anti-corruption wherever they have a presence.</w:t>
      </w:r>
    </w:p>
    <w:p w14:paraId="148AEDB8" w14:textId="77777777" w:rsidR="00D47B2C" w:rsidRDefault="00000000">
      <w:r>
        <w:t>Our commitment to strong corporate governance is emphasised in our key values and strategy and implemented in all our operations.</w:t>
      </w:r>
    </w:p>
    <w:p w14:paraId="30CE76A0" w14:textId="77777777" w:rsidR="00D47B2C" w:rsidRDefault="00000000">
      <w:r>
        <w:t>In 2024, we developed our sustainability reporting to meet the EU Corporate Sustainability Reporting Directive requirements, which we will be subject to as of 2026.</w:t>
      </w:r>
    </w:p>
    <w:p w14:paraId="7BA9963D" w14:textId="77777777" w:rsidR="00D47B2C" w:rsidRDefault="00000000">
      <w:r>
        <w:t>We will be subject to the EU Corporate Sustainability Reporting Directive as of 2026, which means that we will include 2025 data in our Report of the Board of Directors.</w:t>
      </w:r>
    </w:p>
    <w:p w14:paraId="33F59241" w14:textId="77777777" w:rsidR="00D47B2C" w:rsidRDefault="00000000">
      <w:r>
        <w:t>Our sustainability indicators are based on our strategy, the goals set out in our sustainability agenda and our latest materiality analysis.</w:t>
      </w:r>
    </w:p>
    <w:p w14:paraId="6EF89742" w14:textId="77777777" w:rsidR="00D47B2C" w:rsidRDefault="00000000">
      <w:r>
        <w:t>We reserve the right to change the existing sustainability indicators, but any changes must be in line with the key principles specified in our sustainability strategy.</w:t>
      </w:r>
    </w:p>
    <w:p w14:paraId="51CFC266" w14:textId="77777777" w:rsidR="00D47B2C" w:rsidRDefault="00000000">
      <w:r>
        <w:lastRenderedPageBreak/>
        <w:t>In addition to the sustainability indicators included in the annual report, we also publish annual green and social impact reports.</w:t>
      </w:r>
    </w:p>
    <w:p w14:paraId="2A61B3D3" w14:textId="77777777" w:rsidR="00D47B2C" w:rsidRDefault="00000000">
      <w:r>
        <w:t>The main observations and measures related to tax issues and tax risks are reported to the Board of Directors.</w:t>
      </w:r>
    </w:p>
    <w:p w14:paraId="013C674B" w14:textId="77777777" w:rsidR="00D47B2C" w:rsidRDefault="00000000">
      <w:r>
        <w:t>MuniFin is committed to systemically reducing the carbon footprint of the projects it finances, offering customers support with emission reductions and better managing the climate and environmental risks associated with the Group’s operations.</w:t>
      </w:r>
    </w:p>
    <w:p w14:paraId="05536039" w14:textId="77777777" w:rsidR="00D47B2C" w:rsidRDefault="00000000">
      <w:r>
        <w:t>The goal of MuniFin’s sustainability agenda is to increase the proportion of sustainable finance and thus also reduce financed emissions from buildings.</w:t>
      </w:r>
    </w:p>
    <w:p w14:paraId="6A9F121E" w14:textId="77777777" w:rsidR="00D47B2C" w:rsidRDefault="00000000">
      <w:r>
        <w:t>MuniFin publishes annual green and social impact reports on its website.</w:t>
      </w:r>
    </w:p>
    <w:p w14:paraId="73870311" w14:textId="77777777" w:rsidR="00D47B2C" w:rsidRDefault="00000000">
      <w:r>
        <w:t>The Group is committed to issuing new green and social bonds regularly.</w:t>
      </w:r>
    </w:p>
    <w:p w14:paraId="1D8D9691" w14:textId="77777777" w:rsidR="00D47B2C" w:rsidRDefault="00000000">
      <w:r>
        <w:t>The Group held a total of EUR 870 million in socially responsible investments SRIs, securities.</w:t>
      </w:r>
    </w:p>
    <w:p w14:paraId="5BD60806" w14:textId="77777777" w:rsidR="00D47B2C" w:rsidRDefault="00000000">
      <w:r>
        <w:t>The impact assessment entails some uncertainty because these regulatory changes are not yet interpreted in an established way.</w:t>
      </w:r>
    </w:p>
    <w:p w14:paraId="3CFEB5BB" w14:textId="77777777" w:rsidR="00D47B2C" w:rsidRDefault="00000000">
      <w:r>
        <w:t>The Group conducted a double materiality assessment and an assessment of regulatory changes in early 2024 and launched a sustainability reporting implementation project in autumn 2024.</w:t>
      </w:r>
    </w:p>
    <w:p w14:paraId="128EA1D3" w14:textId="77777777" w:rsidR="00D47B2C" w:rsidRDefault="00000000">
      <w:r>
        <w:t>To comply with DORA, the Group has updated its ICT agreements, the processes of maintaining information systems and the comprehensive risk management of information systems and information security both internally in the Group and with its IT vendors.</w:t>
      </w:r>
    </w:p>
    <w:p w14:paraId="04E2DBCB" w14:textId="77777777" w:rsidR="00D47B2C" w:rsidRDefault="00000000">
      <w:r>
        <w:t>Capital adequacy 59/403 Year 2024 Report of the Board of Directors Consolidated Financial Statements Parent Company’s Financial Statements Municipality Finance Plc Annual Report 2024 MuniFin Group’s strategy and financial objectives MuniFin Group’s strategy emphasises the Group’s core mandate, ensuring that its limited customer base, which is assigned to carry out public duties, has access to affordable financing under all market conditions.</w:t>
      </w:r>
    </w:p>
    <w:p w14:paraId="0E16C0CF" w14:textId="77777777" w:rsidR="00D47B2C" w:rsidRDefault="00000000">
      <w:r>
        <w:t>MuniFin has conservative risk management policies and maintains a strong risk-bearing capacity in both quantity and quality.</w:t>
      </w:r>
    </w:p>
    <w:p w14:paraId="19EF724F" w14:textId="77777777" w:rsidR="00D47B2C" w:rsidRDefault="00000000">
      <w:r>
        <w:t>The Board of Directors reviewed the Group’s strategy in 2024 and concurred that no material changes are necessary.</w:t>
      </w:r>
    </w:p>
    <w:p w14:paraId="12010184" w14:textId="77777777" w:rsidR="00D47B2C" w:rsidRDefault="00000000">
      <w:r>
        <w:t>The leverage ratio is calculated as a ratio between the institution’s Tier 1 capital and total exposure calculated based on the assets and off-balance sheet items as described in the regulatory framework.</w:t>
      </w:r>
    </w:p>
    <w:p w14:paraId="4BA3DD00" w14:textId="77777777" w:rsidR="00D47B2C" w:rsidRDefault="00000000">
      <w:r>
        <w:lastRenderedPageBreak/>
        <w:t>Because MuniFin’s objective as a public development credit institution under the CRR is not to maximise profits, the Group aims at a result that will ensure the Group’s ability to carry out its core mandate in the long term.</w:t>
      </w:r>
    </w:p>
    <w:p w14:paraId="68621DBE" w14:textId="77777777" w:rsidR="00D47B2C" w:rsidRDefault="00000000">
      <w:r>
        <w:t>MuniFin Group’s strategy and financial objectives 60/403 Year 2024 Report of the Board of Directors Consolidated Financial Statements Parent Company’s Financial Statements Municipality Finance Plc Annual Report 2024 The net operating profit excluding unrealised fair value changes generated from MuniFin’s core business has remained relatively stable in recent years, totalling about EUR 170–210 million.</w:t>
      </w:r>
    </w:p>
    <w:p w14:paraId="171BEC93" w14:textId="77777777" w:rsidR="00D47B2C" w:rsidRDefault="00000000">
      <w:r>
        <w:t>All business operations also involve strategic risks, ESG risks such as environmental and climate risks and operational risks, including compliance risk.</w:t>
      </w:r>
    </w:p>
    <w:p w14:paraId="254F821F" w14:textId="77777777" w:rsidR="00D47B2C" w:rsidRDefault="00000000">
      <w:r>
        <w:t>Conducted by the European Banking Authority , the exercise aimed to assess the resilience of the financial sector in line with the Fit-for-55 package and to gain insights into the capacity of the financial system to support the transition to a lower carbon economy under conditions of stress.</w:t>
      </w:r>
    </w:p>
    <w:p w14:paraId="763F9402" w14:textId="77777777" w:rsidR="00D47B2C" w:rsidRDefault="00000000">
      <w:r>
        <w:t>According to the Group’s assessment, its exposure to climate and environmental risks is low.</w:t>
      </w:r>
    </w:p>
    <w:p w14:paraId="001E0C23" w14:textId="77777777" w:rsidR="00D47B2C" w:rsidRDefault="00000000">
      <w:r>
        <w:t>According to the Group’s assessment, the impact of climate and environmental risks on these operators for the Group is minor.</w:t>
      </w:r>
    </w:p>
    <w:p w14:paraId="1BC4547D" w14:textId="77777777" w:rsidR="00D47B2C" w:rsidRDefault="00000000">
      <w:r>
        <w:t>According to the Group’s assessment, environmental and climate risks are unlikely to manifest substantially in the short term, but they may have an adverse economic effect on the Group’s customers in the medium and long term.</w:t>
      </w:r>
    </w:p>
    <w:p w14:paraId="55E9F49C" w14:textId="77777777" w:rsidR="00D47B2C" w:rsidRDefault="00000000">
      <w:r>
        <w:t>Although the Group assesses its climate and environmental risks to be low, it recognises that as climate change progresses, the risks and uncertainty associated with it will increase.</w:t>
      </w:r>
    </w:p>
    <w:p w14:paraId="0B59EB8D" w14:textId="77777777" w:rsidR="00D47B2C" w:rsidRDefault="00000000">
      <w:r>
        <w:t>The perceived low exposure to social risks stems from the lack of identified material risks related to non-compliance with labour laws, human rights or other aspects of social justice.</w:t>
      </w:r>
    </w:p>
    <w:p w14:paraId="13AE42C3" w14:textId="77777777" w:rsidR="00D47B2C" w:rsidRDefault="00000000">
      <w:r>
        <w:t>The statement includes a description of the main features of the internal audit and risk management systems pertaining to the financial reporting process.</w:t>
      </w:r>
    </w:p>
    <w:p w14:paraId="1F43F1B5" w14:textId="77777777" w:rsidR="00D47B2C" w:rsidRDefault="00000000">
      <w:r>
        <w:t>Salaries and remuneration The remuneration paid to MuniFin Group’s management and employees consists of fixed remuneration base salary and fringe benefits and a variable element based on the conditions of the remuneration scheme.</w:t>
      </w:r>
    </w:p>
    <w:p w14:paraId="0C9C6F72" w14:textId="77777777" w:rsidR="00D47B2C" w:rsidRDefault="00000000">
      <w:r>
        <w:t>Events after the reporting period 69/403 Year 2024 Report of the Board of Directors Consolidated Financial Statements Parent Company’s Financial Statements Municipality Finance Plc Annual Report 2024 Outlook for 2025 Europe’s economy is starting 2025 off from a weaker position than anticipated.</w:t>
      </w:r>
    </w:p>
    <w:p w14:paraId="686C0EDA" w14:textId="77777777" w:rsidR="00D47B2C" w:rsidRDefault="00000000">
      <w:r>
        <w:lastRenderedPageBreak/>
        <w:t>These estimates are based on a current assessment of the development of MuniFin Group’s operations and the operating environment.</w:t>
      </w:r>
    </w:p>
    <w:p w14:paraId="1482A201" w14:textId="77777777" w:rsidR="00D47B2C" w:rsidRDefault="00000000">
      <w:r>
        <w:t>Net interest income 260 259 Commission income 1 2 Net result on financial instruments at fair value through profit or loss 15 39 Net result on financial assets at fair value through other comprehensive income 0 0 Other operating income 0 0 Income Year 2024 Report of the Board of Directors Consolidated Financial Statements Parent Company’s Financial Statements Municipality Finance Plc Annual Report 2024 Note 1.</w:t>
      </w:r>
    </w:p>
    <w:p w14:paraId="728DCDE9" w14:textId="77777777" w:rsidR="00D47B2C" w:rsidRDefault="00000000">
      <w:r>
        <w:t>Key figures 78/403 Year 2024 Report of the Board of Directors Consolidated Financial Statements Parent Company’s Financial Statements Municipality Finance Plc Annual Report 2024 Alternative Performance Measure Definition / Explanation Reconciliation Jan–Dec 2024 Jan–Dec 2023 EUR million Return on Equity , % ROE measures the efficiency of MuniFin Group’s capital usage.</w:t>
      </w:r>
    </w:p>
    <w:p w14:paraId="452163C6" w14:textId="77777777" w:rsidR="00D47B2C" w:rsidRDefault="00000000">
      <w:r>
        <w:t>Key figures 79/403 Year 2024 Report of the Board of Directors Consolidated Financial Statements Parent Company’s Financial Statements Municipality Finance Plc Annual Report 2024 Alternative Performance Measure Definition / Explanation Reconciliation 31 Dec 2024 31 Dec 2023 EUR million Equity ratio, % Equity ratio is an investment leverage and solvency ratio that measures the amount of assets that are financed by equity.</w:t>
      </w:r>
    </w:p>
    <w:p w14:paraId="2CFD6DA2" w14:textId="31DA6CBF" w:rsidR="00D47B2C" w:rsidRDefault="00000000">
      <w:r>
        <w:t xml:space="preserve">Key figures 82/403 Year 2024 Report of the Board of Directors Consolidated Financial Statements Parent Company’s Financial Statements Municipality Finance Plc Annual Report 2024 Other measures Definition Reconciliation 31 Dec 2024 31 Dec 2023 EUR million Liquidity Coverage Ratio % </w:t>
      </w:r>
      <w:r w:rsidR="008F2016">
        <w:t>d</w:t>
      </w:r>
      <w:r>
        <w:t>efined in CRR.</w:t>
      </w:r>
    </w:p>
    <w:p w14:paraId="1163BD5E" w14:textId="77777777" w:rsidR="00D47B2C" w:rsidRDefault="00000000">
      <w:r>
        <w:t>Controlling capital adequacy is continuous and an essential part of the Group’s strategic planning process, which covers setting strategic goals, specifying development projects and making financial forecasts for the following years.</w:t>
      </w:r>
    </w:p>
    <w:p w14:paraId="3A6466A3" w14:textId="77777777" w:rsidR="00D47B2C" w:rsidRDefault="00000000">
      <w:r>
        <w:t>For derivatives, netting agreements, collateral agreements ISDA/Credit Support Annex and guarantees granted by the Municipal Guarantee Board are used for reducing the capital adequacy requirement related to the counterparty risk of derivative counterparties.</w:t>
      </w:r>
    </w:p>
    <w:p w14:paraId="38C24A7D" w14:textId="77777777" w:rsidR="00D47B2C" w:rsidRDefault="00000000">
      <w:r>
        <w:t>Events after the reporting period 108/403 Year 2024 Report of the Board of Directors Consolidated Financial Statements Parent Company’s Financial Statements Municipality Finance Plc Annual Report 2024 Note 1.</w:t>
      </w:r>
    </w:p>
    <w:p w14:paraId="10B07DFF" w14:textId="77777777" w:rsidR="00D47B2C" w:rsidRDefault="00000000">
      <w:r>
        <w:t>Capital adequacy information in compliance with Part Eight of the EU Capital Requirements Regulation No 575/2013 and its amending regulation No 876/2019 is presented in a Pillar III Disclosure Report which is a separate, unaudited report from the Report of the Board of Directors and the Financial Statements.</w:t>
      </w:r>
    </w:p>
    <w:p w14:paraId="5DDE5848" w14:textId="77777777" w:rsidR="00D47B2C" w:rsidRDefault="00000000">
      <w:r>
        <w:t>This designation is made, if it eliminates or significantly reduces an accounting mismatch or if financial liabilities are both managed, and their performance evaluated on a fair value basis in accordance with a documented risk management or investment strategy.</w:t>
      </w:r>
    </w:p>
    <w:p w14:paraId="35EDA849" w14:textId="77777777" w:rsidR="00D47B2C" w:rsidRDefault="00000000">
      <w:r>
        <w:lastRenderedPageBreak/>
        <w:t>These consist of financial liabilities, which have been hedged according to the Group’s risk management policy, but to which fair value hedge accounting in accordance with IFRS 9 is not applied.</w:t>
      </w:r>
    </w:p>
    <w:p w14:paraId="795DC219" w14:textId="77777777" w:rsidR="00D47B2C" w:rsidRDefault="00000000">
      <w:r>
        <w:t>The Group has documented the hedge relationships within hedge accounting, and they comply with the Group’s risk management objectives and strategy.</w:t>
      </w:r>
    </w:p>
    <w:p w14:paraId="1CEC2129" w14:textId="77777777" w:rsidR="00D47B2C" w:rsidRDefault="00000000">
      <w:r>
        <w:t>IFRS 9 amendments will clarify and add further guidance whether a financial asset meets the solely payments of principal and interest criteria especially in financial instruments with features linked to the achievement of environmental, social and governance targets.</w:t>
      </w:r>
    </w:p>
    <w:p w14:paraId="29C0E0E9" w14:textId="77777777" w:rsidR="00D47B2C" w:rsidRDefault="00000000">
      <w:r>
        <w:t>IFRS 7 amendment introduces new disclosure requirements for financial instruments with features linked to the achievement of environmental, social and governance targets.</w:t>
      </w:r>
    </w:p>
    <w:p w14:paraId="67811B44" w14:textId="77777777" w:rsidR="00D47B2C" w:rsidRDefault="00000000">
      <w:r>
        <w:t>The framework is updated regularly, at least annually, and the Board of Directors of the Parent Company approves the document.</w:t>
      </w:r>
    </w:p>
    <w:p w14:paraId="5EFFEAA0" w14:textId="77777777" w:rsidR="00D47B2C" w:rsidRDefault="00000000">
      <w:r>
        <w:t>Expected credit losses ESG score liquidity portfolio Energy efficiency of real estate collateral Climate-related &amp; environmental risk score municipality financing Share of green finance of all long-term customer financing Stressed CCR derivative loss Single-name concentration customer financing Market risk Total EVE risk Maintain a sound market risk profile appropriate for MuniFin's business model.</w:t>
      </w:r>
    </w:p>
    <w:p w14:paraId="1AD8DDAF" w14:textId="77777777" w:rsidR="00D47B2C" w:rsidRDefault="00000000">
      <w:r>
        <w:t>Total NII risk NII Basis risk FX risk Credit spread risk Fair value VaR Operational risk Reputational risk Maintain an effective operational control and compliance to support functional and responsible operations.</w:t>
      </w:r>
    </w:p>
    <w:p w14:paraId="0CBD4916" w14:textId="77777777" w:rsidR="00D47B2C" w:rsidRDefault="00000000">
      <w:r>
        <w:t>MuniFin Group’s risk management and internal control practices and processes are developed continuously.</w:t>
      </w:r>
    </w:p>
    <w:p w14:paraId="54A9818B" w14:textId="77777777" w:rsidR="00D47B2C" w:rsidRDefault="00000000">
      <w:r>
        <w:t>Throughout 2024, the focus has been on developing ESG Environmental, Social, Governance risk management capabilities and preparing for new disclosure requirements that came into effect at the end of 2024.</w:t>
      </w:r>
    </w:p>
    <w:p w14:paraId="05DBA650" w14:textId="77777777" w:rsidR="00D47B2C" w:rsidRDefault="00000000">
      <w:r>
        <w:t>Additionally, the Group has developed a stress test framework for climate and environmental risks and updated the materiality analysis related to climate and environmental risks.</w:t>
      </w:r>
    </w:p>
    <w:p w14:paraId="5688055B" w14:textId="77777777" w:rsidR="00D47B2C" w:rsidRDefault="00000000">
      <w:r>
        <w:t>In 2024, the Group also developed and documented an ICT risk management framework as part of preparations for the implementation of the DORA regulation.</w:t>
      </w:r>
    </w:p>
    <w:p w14:paraId="3B425A09" w14:textId="77777777" w:rsidR="00D47B2C" w:rsidRDefault="00000000">
      <w:r>
        <w:t>Organisation of risk management For the implementation of internal control framework, the Group applies the three lines of defence model.</w:t>
      </w:r>
    </w:p>
    <w:p w14:paraId="7B84ED46" w14:textId="77777777" w:rsidR="00D47B2C" w:rsidRDefault="00000000">
      <w:r>
        <w:t>Internal control framework is supported by controls of different processes.</w:t>
      </w:r>
    </w:p>
    <w:p w14:paraId="358F86C0" w14:textId="77777777" w:rsidR="00D47B2C" w:rsidRDefault="00000000">
      <w:r>
        <w:t>The Board of Directors also makes all the far-reaching decisions related to the nature and scope of the activities.</w:t>
      </w:r>
    </w:p>
    <w:p w14:paraId="5E313204" w14:textId="77777777" w:rsidR="00D47B2C" w:rsidRDefault="00000000">
      <w:r>
        <w:lastRenderedPageBreak/>
        <w:t>The Board may also establish other committees as necessary.</w:t>
      </w:r>
    </w:p>
    <w:p w14:paraId="20589B1F" w14:textId="77777777" w:rsidR="00D47B2C" w:rsidRDefault="00000000">
      <w:r>
        <w:t>The purpose of the Audit Committee, as a preparatory body, is to assist the Board of Directors in duties related to financial reporting and internal control.</w:t>
      </w:r>
    </w:p>
    <w:p w14:paraId="0243BBAC" w14:textId="77777777" w:rsidR="00D47B2C" w:rsidRDefault="00000000">
      <w:r>
        <w:t>The Risk Committee is to estimate whether the prices for the services that tie up capital correspond with the Group’s business model and risk strategy and, in the event this is not the case, to present a remedy plan to the Board.</w:t>
      </w:r>
    </w:p>
    <w:p w14:paraId="7B836CEE" w14:textId="77777777" w:rsidR="00D47B2C" w:rsidRDefault="00000000">
      <w:r>
        <w:t>All employees who work in the first line of defence are responsible for the risk management of their own work.</w:t>
      </w:r>
    </w:p>
    <w:p w14:paraId="7BF6D02F" w14:textId="77777777" w:rsidR="00D47B2C" w:rsidRDefault="00000000">
      <w:r>
        <w:t>In addition, the tasks include internal communication, training and advice for the staff to ensure compliance with the regulations and assessing internal processes for ensuring compliance with the regulations.</w:t>
      </w:r>
    </w:p>
    <w:p w14:paraId="469D973B" w14:textId="77777777" w:rsidR="00D47B2C" w:rsidRDefault="00000000">
      <w:r>
        <w:t>Conducted by the European Banking Authority , the exercise aimed to assess the resilience of the financial sector in line with the Fit-for-55 package and to gain insights into the capacity of the financial system to support the transition to a lower carbon economy under conditions of stress.</w:t>
      </w:r>
    </w:p>
    <w:p w14:paraId="26BF8B86" w14:textId="77777777" w:rsidR="00D47B2C" w:rsidRDefault="00000000">
      <w:r>
        <w:t>The Board assesses the development of the Group’s operating environment and any potential pressures for change and risks as part of the annual strategy review.</w:t>
      </w:r>
    </w:p>
    <w:p w14:paraId="1D586C66" w14:textId="77777777" w:rsidR="00D47B2C" w:rsidRDefault="00000000">
      <w:r>
        <w:t>ILAAP is an integral part of the Group’s risk management framework that includes other strategic processes such as RAF, ICAAP, Recovery Plan and remuneration framework.</w:t>
      </w:r>
    </w:p>
    <w:p w14:paraId="64433AED" w14:textId="77777777" w:rsidR="00D47B2C" w:rsidRDefault="00000000">
      <w:r>
        <w:t>MuniFin Group’s Credit risk policy and credit risk management practices rely significantly on this principle.</w:t>
      </w:r>
    </w:p>
    <w:p w14:paraId="023886F2" w14:textId="77777777" w:rsidR="00D47B2C" w:rsidRDefault="00000000">
      <w:r>
        <w:t>Finnish municipalities and cities can also establish joint municipal authorities to provide services that they are legally required to provide for their citizens or undertake regional development activities.</w:t>
      </w:r>
    </w:p>
    <w:p w14:paraId="4D9D9428" w14:textId="77777777" w:rsidR="00D47B2C" w:rsidRDefault="00000000">
      <w:r>
        <w:t>The analysis takes into account the environmental, social and governance risks insofar as information about the customer is available for assessment.</w:t>
      </w:r>
    </w:p>
    <w:p w14:paraId="31499CC0" w14:textId="77777777" w:rsidR="00D47B2C" w:rsidRDefault="00000000">
      <w:r>
        <w:t>The assessment highlights the potential 152/403 Year 2024 Report of the Board of Directors Consolidated Financial Statements Parent Company’s Financial Statements Municipality Finance Plc Annual Report 2024 impacts of climate and environmental risks, which may materialise to customers either directly as physical risks or as transition risks related to preparing for climate change.</w:t>
      </w:r>
    </w:p>
    <w:p w14:paraId="700F308A" w14:textId="77777777" w:rsidR="00D47B2C" w:rsidRDefault="00000000">
      <w:r>
        <w:t xml:space="preserve">Hedge 157/403 Year 2024 Report of the Board of Directors Consolidated Financial Statements Parent Company’s Financial Statements Municipality Finance Plc Annual Report 2024 accounting and quantitative information on current hedging relationships and their </w:t>
      </w:r>
      <w:r>
        <w:lastRenderedPageBreak/>
        <w:t>impact on earnings is presented in the Notes 24 Hedge accounting and 7 Net result on hedge accounting.</w:t>
      </w:r>
    </w:p>
    <w:p w14:paraId="11C60038" w14:textId="77777777" w:rsidR="00D47B2C" w:rsidRDefault="00000000">
      <w:r>
        <w:t>The Group also makes use of the fair value option allowed by the IFRS 9 standard in hedging relationships that are not in fair value hedge accounting and that eliminate or significantly reduce valuation or accounting inconsistency accounting mismatch or where the Group manages financial liabilities and evaluates their performance based on fair value, in accordance with the documented risk management or investment strategy.</w:t>
      </w:r>
    </w:p>
    <w:p w14:paraId="74030EFA" w14:textId="77777777" w:rsidR="00D47B2C" w:rsidRDefault="00000000">
      <w:r>
        <w:t>MuniFin Group’s Compliance continuously monitors the development of legislation and regulations issued by authorities relevant to the Group’s operations and ensures that any regulatory changes are appropriately responded to.</w:t>
      </w:r>
    </w:p>
    <w:p w14:paraId="34627439" w14:textId="77777777" w:rsidR="00D47B2C" w:rsidRDefault="00000000">
      <w:r>
        <w:t>The Group has significant information system and business process related projects aimed at improving the quality, efficiency and regulatory compliance of current operations.</w:t>
      </w:r>
    </w:p>
    <w:p w14:paraId="40117BA9" w14:textId="77777777" w:rsidR="00D47B2C" w:rsidRDefault="00000000">
      <w:r>
        <w:t>According to the Group’s assessment, its exposure to climate and environmental risks is low.</w:t>
      </w:r>
    </w:p>
    <w:p w14:paraId="79C1CAC6" w14:textId="77777777" w:rsidR="00D47B2C" w:rsidRDefault="00000000">
      <w:r>
        <w:t>According to the Group’s assessment, environmental and climate risks are unlikely to manifest substantially in the short term, but they may have an adverse economic effect on the Group’s customers in the medium and long term.</w:t>
      </w:r>
    </w:p>
    <w:p w14:paraId="1A8CF99B" w14:textId="77777777" w:rsidR="00D47B2C" w:rsidRDefault="00000000">
      <w:r>
        <w:t>Although the Group considers the environmental and climate risks low, the Group recognises that as the climate change progresses, the risks associated with it increase and the uncertainty rises.</w:t>
      </w:r>
    </w:p>
    <w:p w14:paraId="2D506389" w14:textId="77777777" w:rsidR="00D47B2C" w:rsidRDefault="00000000">
      <w:r>
        <w:t>The perceived low exposure to social risks stems from the lack of identified material risks related to non-compliance with labour laws, human rights or other aspects of social justice.</w:t>
      </w:r>
    </w:p>
    <w:p w14:paraId="00074967" w14:textId="77777777" w:rsidR="00D47B2C" w:rsidRDefault="00000000">
      <w:r>
        <w:t>Financial liabilities designated at fair value through profit or loss consist of financial liabilities, which have been hedged according to the Group’s risk management policy, but which are not subject to IFRS 9 standard fair value hedge accounting.</w:t>
      </w:r>
    </w:p>
    <w:p w14:paraId="3297A499" w14:textId="77777777" w:rsidR="00D47B2C" w:rsidRDefault="00000000">
      <w:r>
        <w:t>Net result on financial assets at fair value through other comprehensive income Jan–Dec 2024 Jan-Dec 2023 Capital gains from financial assets 30 Capital losses from financial assets 122 Unrealised gains transferred from fair value reserve 124 Unrealised losses transferred from fair value reserve 287 Total Year 2024 Report of the Board of Directors Consolidated Financial Statements Parent Company’s Financial Statements Municipality Finance Plc Annual Report 2024 Note 7.</w:t>
      </w:r>
    </w:p>
    <w:p w14:paraId="7E92538D" w14:textId="77777777" w:rsidR="00D47B2C" w:rsidRDefault="00000000">
      <w:r>
        <w:t>Fair values of financial assets and liabilities Valuation framework MuniFin Group has implemented a framework for the arrangements, activities and procedures with regards to the Group’s model risk management.</w:t>
      </w:r>
    </w:p>
    <w:p w14:paraId="4E9C4B1F" w14:textId="77777777" w:rsidR="00D47B2C" w:rsidRDefault="00000000">
      <w:r>
        <w:t xml:space="preserve">Day 1 gain or loss Jan–Dec 2024 Jan–Dec 2023 Opening balance in the beginning of the reporting period 350 392 Recognised gain in the income statement Recognised loss in the </w:t>
      </w:r>
      <w:r>
        <w:lastRenderedPageBreak/>
        <w:t>income statement 452 470 Deferred gain or loss on new transactions 494 512 Total at the end of the reporting period Year 2024 Report of the Board of Directors Consolidated Financial Statements Parent Company’s Financial Statements Municipality Finance Plc Annual Report 2024 The fair values of financial instruments are determined on the basis of either price quotations obtained from functioning markets or, if such markets do not exist, by applying valuation methods.</w:t>
      </w:r>
    </w:p>
    <w:p w14:paraId="5CFACAB0" w14:textId="77777777" w:rsidR="00D47B2C" w:rsidRDefault="00000000">
      <w:r>
        <w:t>Salaries and remuneration The remuneration paid to the management and employees of MuniFin Group consists of a fixed remuneration base salary and fringe benefits and a variable remuneration based on the conditions of the remuneration system.</w:t>
      </w:r>
    </w:p>
    <w:p w14:paraId="1C3EA765" w14:textId="77777777" w:rsidR="00D47B2C" w:rsidRDefault="00000000">
      <w:r>
        <w:t>The Remuneration Committee of the Board of Directors is responsible for preparatory work concerning the matters of the remuneration system.</w:t>
      </w:r>
    </w:p>
    <w:p w14:paraId="2AA87EEC" w14:textId="77777777" w:rsidR="00D47B2C" w:rsidRDefault="00000000">
      <w:r>
        <w:t>Events after the reporting period The MuniFin’s Board of Directors is not aware of any events having taken place after the end of the financial year that would have a material effect on the Group’s financial standing.</w:t>
      </w:r>
    </w:p>
    <w:p w14:paraId="1D19E42D" w14:textId="77777777" w:rsidR="00D47B2C" w:rsidRDefault="00000000">
      <w:r>
        <w:t>Financial liabilities designated at fair value through profit or loss consist of financial liabilities, which have been hedged according to the Group’s risk management policy, but which are not subject to IFRS 9 standard’s fair value hedge accounting.</w:t>
      </w:r>
    </w:p>
    <w:p w14:paraId="05534DEB" w14:textId="77777777" w:rsidR="00D47B2C" w:rsidRDefault="00000000">
      <w:r>
        <w:t>Fair value hierarchy of financial assets and liabilities Valuation framework MuniFin has implemented a framework for the arrangements, activities and procedures with regards to the Company’s model risk management.</w:t>
      </w:r>
    </w:p>
    <w:p w14:paraId="67E0F35B" w14:textId="77777777" w:rsidR="00D47B2C" w:rsidRDefault="00000000">
      <w:r>
        <w:t>Day 1 gain or loss Jan–Dec 2024 Jan–Dec 2023 Opening balance in the beginning of the reporting period 350 392 Recognised gain in the income statement Recognised loss in the income statement 452 470 Deferred gain or loss on new transactions 494 512 Total at the end of the reporting period Year 2024 Report of the Board of Directors Consolidated Financial Statements Parent Company’s Financial Statements Municipality Finance Plc Annual Report 2024 The fair values of financial instruments are determined on the basis of either price quotations obtained from functioning markets or, if such markets do not exist, by applying valuation methods.</w:t>
      </w:r>
    </w:p>
    <w:p w14:paraId="3BE4D2BC" w14:textId="77777777" w:rsidR="00D47B2C" w:rsidRDefault="00000000">
      <w:r>
        <w:t>As in all of our audits, we also addressed the risk of management override of internal controls, including among other matters consideration of whether there was evidence of bias that represented a risk of material misstatement due to fraud.</w:t>
      </w:r>
    </w:p>
    <w:p w14:paraId="5475469E" w14:textId="77777777" w:rsidR="00D47B2C" w:rsidRDefault="00000000">
      <w:r>
        <w:t>Our audit included a combination of testing of internal controls over financial reporting and substantive testing.</w:t>
      </w:r>
    </w:p>
    <w:p w14:paraId="322310D0" w14:textId="77777777" w:rsidR="00D47B2C" w:rsidRDefault="00000000">
      <w:r>
        <w:t>In preparing the financial statements, the Board of Directors and the Managing Director are responsible for assessing the parent company’s and the group’s ability to continue as a going concern, disclosing, as applicable, matters relating to going concern and using the going concern basis of accounting.</w:t>
      </w:r>
    </w:p>
    <w:p w14:paraId="0648C73E" w14:textId="77777777" w:rsidR="00D47B2C" w:rsidRDefault="00000000">
      <w:r>
        <w:lastRenderedPageBreak/>
        <w:t>As part of an audit in accordance with good auditing practice, we exercise professional judgment and maintain professional skepticism throughout the audit.</w:t>
      </w:r>
    </w:p>
    <w:p w14:paraId="31105A89" w14:textId="77777777" w:rsidR="00D47B2C" w:rsidRDefault="00000000">
      <w:r>
        <w:t>We are responsible for the direction, supervision and review of the audit work performed for purposes of the group audit.</w:t>
      </w:r>
    </w:p>
    <w:p w14:paraId="5B6DF869" w14:textId="77777777" w:rsidR="00D47B2C" w:rsidRDefault="00000000">
      <w:r>
        <w:t>The proposal by the Board of Directors regarding the use of the profit shown in the balance sheet is in compliance with the Limited Liability Companies Act.</w:t>
      </w:r>
    </w:p>
    <w:p w14:paraId="3347F80C" w14:textId="186AA33D" w:rsidR="00D47B2C" w:rsidRDefault="00000000">
      <w:r>
        <w:t>We support that the Members of the Board of Directors of the parent company and the Managing Director should be discharged from liability for the financial period audited by us.</w:t>
      </w:r>
    </w:p>
    <w:sectPr w:rsidR="00D47B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22842962">
    <w:abstractNumId w:val="8"/>
  </w:num>
  <w:num w:numId="2" w16cid:durableId="97797933">
    <w:abstractNumId w:val="6"/>
  </w:num>
  <w:num w:numId="3" w16cid:durableId="1919902655">
    <w:abstractNumId w:val="5"/>
  </w:num>
  <w:num w:numId="4" w16cid:durableId="2120832094">
    <w:abstractNumId w:val="4"/>
  </w:num>
  <w:num w:numId="5" w16cid:durableId="1363818941">
    <w:abstractNumId w:val="7"/>
  </w:num>
  <w:num w:numId="6" w16cid:durableId="655457357">
    <w:abstractNumId w:val="3"/>
  </w:num>
  <w:num w:numId="7" w16cid:durableId="734813644">
    <w:abstractNumId w:val="2"/>
  </w:num>
  <w:num w:numId="8" w16cid:durableId="563033053">
    <w:abstractNumId w:val="1"/>
  </w:num>
  <w:num w:numId="9" w16cid:durableId="71227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043"/>
    <w:rsid w:val="008F2016"/>
    <w:rsid w:val="00AA1D8D"/>
    <w:rsid w:val="00B47730"/>
    <w:rsid w:val="00CB0664"/>
    <w:rsid w:val="00D47B2C"/>
    <w:rsid w:val="00EF1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13A6B"/>
  <w14:defaultImageDpi w14:val="300"/>
  <w15:docId w15:val="{09875724-9D0E-9A4D-9EA8-55F97D78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3936</Words>
  <Characters>22439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2025-07-30T18:10:00Z</dcterms:modified>
  <cp:category/>
</cp:coreProperties>
</file>