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D0B58" w14:textId="77777777" w:rsidR="00B428A2" w:rsidRDefault="00000000">
      <w:r>
        <w:t>MuniFin grants financing for environmentally and socially responsible investment such as public transportation, hospitals and healthcare centers, schools and day care centers, and homes for people with special needs.</w:t>
      </w:r>
    </w:p>
    <w:p w14:paraId="5C08FF4A" w14:textId="77777777" w:rsidR="00B428A2" w:rsidRDefault="00000000">
      <w:r>
        <w:t>MuniFin’s Financial Control and Regulatory Reporting unit is responsible for the process of publishing financial information including Pillar III disclosures.</w:t>
      </w:r>
    </w:p>
    <w:p w14:paraId="6036AF4B" w14:textId="77777777" w:rsidR="00B428A2" w:rsidRDefault="00000000">
      <w:r>
        <w:t>The Risk Management and Compliance division and the Legal and Communications division take also part into the disclosure process.</w:t>
      </w:r>
    </w:p>
    <w:p w14:paraId="2CEFC24A" w14:textId="77777777" w:rsidR="00B428A2" w:rsidRDefault="00000000">
      <w:r>
        <w:t>The Framework aims to ensure that risk culture, business and risk strategy, risk appetite, risk governance, people and processes are aligned and effectively supporting risk management goals.</w:t>
      </w:r>
    </w:p>
    <w:p w14:paraId="04FD55E5" w14:textId="77777777" w:rsidR="00B428A2" w:rsidRDefault="00000000">
      <w:r>
        <w:t>The following principles are followed across the Group, The Risk and Governance Framework is supported by comprehensive set of risk policies and underlying guidelines and instructions.</w:t>
      </w:r>
    </w:p>
    <w:p w14:paraId="05D4F0D6" w14:textId="0F6F6300" w:rsidR="00B428A2" w:rsidRDefault="00000000">
      <w:r>
        <w:t>Risk management objectives and policies 11/243 Governance and risk methodologies Pillar III tables Municipality Finance Plc Pillar III Disclosure Report 2023.</w:t>
      </w:r>
    </w:p>
    <w:p w14:paraId="5527EF86" w14:textId="0C6BF2DF" w:rsidR="00B428A2" w:rsidRDefault="00000000">
      <w:r>
        <w:t xml:space="preserve">Risk management objectives and policies </w:t>
      </w:r>
      <w:r w:rsidR="00BF26B8">
        <w:t>t</w:t>
      </w:r>
      <w:r>
        <w:t xml:space="preserve">he components of </w:t>
      </w:r>
      <w:proofErr w:type="spellStart"/>
      <w:r>
        <w:t>MuniFin</w:t>
      </w:r>
      <w:proofErr w:type="spellEnd"/>
      <w:r>
        <w:t xml:space="preserve"> Group’s Risk and Governance Framework are presented in the figure below.</w:t>
      </w:r>
    </w:p>
    <w:p w14:paraId="781CC0D7" w14:textId="77777777" w:rsidR="00B428A2" w:rsidRDefault="00000000">
      <w:r>
        <w:t>The internal control framework is supported by controls in different processes.</w:t>
      </w:r>
    </w:p>
    <w:p w14:paraId="021EFE28" w14:textId="77777777" w:rsidR="00B428A2" w:rsidRDefault="00000000">
      <w:r>
        <w:t>For the implementation of the internal control framework, the Group applies the three lines of defence model, with adequate segregation of duties between different parties.</w:t>
      </w:r>
    </w:p>
    <w:p w14:paraId="7A08F65B" w14:textId="77777777" w:rsidR="00B428A2" w:rsidRDefault="00000000">
      <w:r>
        <w:t>The first line of defence operates business activities within the set limits and in accordance with the internal control framework.</w:t>
      </w:r>
    </w:p>
    <w:p w14:paraId="44DFF93F" w14:textId="77777777" w:rsidR="00B428A2" w:rsidRDefault="00000000">
      <w:r>
        <w:t>Risk Management and Compliance identifies, measures, manages, monitors and reports risks independently from the business lines.</w:t>
      </w:r>
    </w:p>
    <w:p w14:paraId="5F69BDC7" w14:textId="77777777" w:rsidR="00B428A2" w:rsidRDefault="00000000">
      <w:r>
        <w:t>Furthermore, the Risk Committee monitors risk management related requirements set by the supervisory authorities and assists the Remuneration Committee with the preparation of a sound remuneration system.</w:t>
      </w:r>
    </w:p>
    <w:p w14:paraId="76A2579A" w14:textId="77777777" w:rsidR="00B428A2" w:rsidRDefault="00000000">
      <w:r>
        <w:t>The Remuneration Committee is responsible for including the risk appetite as a key component in the performance objectives, remuneration and incentive structures of the staff.</w:t>
      </w:r>
    </w:p>
    <w:p w14:paraId="4D07A6C1" w14:textId="77777777" w:rsidR="00B428A2" w:rsidRDefault="00000000">
      <w:r>
        <w:t>In addition, the remuneration framework shall be such that a significant breach of the set risk appetite limits may have consequences for the involved individuals’ appraisal and remuneration.</w:t>
      </w:r>
    </w:p>
    <w:p w14:paraId="39952509" w14:textId="77777777" w:rsidR="00B428A2" w:rsidRDefault="00000000">
      <w:r>
        <w:lastRenderedPageBreak/>
        <w:t>The CEO is responsible for organising MuniFin’s operational activities and is ultimately responsible to the Board for ensuring that the activities meet the set requirements.</w:t>
      </w:r>
    </w:p>
    <w:p w14:paraId="29BAABD4" w14:textId="77777777" w:rsidR="00B428A2" w:rsidRDefault="00000000">
      <w:r>
        <w:t>The CRO is responsible for the overall coordination of risk management including the monitoring of risk limits and reporting different types of risks.</w:t>
      </w:r>
    </w:p>
    <w:p w14:paraId="795EAA85" w14:textId="77777777" w:rsidR="00B428A2" w:rsidRDefault="00000000">
      <w:r>
        <w:t>In addition to the direct reporting line to the CEO, the CRO reports directly to the Board’s Risk Committee on MuniFin Group’s overall risk position at each meeting.</w:t>
      </w:r>
    </w:p>
    <w:p w14:paraId="3FC0AD99" w14:textId="77777777" w:rsidR="00B428A2" w:rsidRDefault="00000000">
      <w:r>
        <w:t>All these bodies support the EMT with matters concerning MuniFin Group’s risk position and risk profile approved by the Board.</w:t>
      </w:r>
    </w:p>
    <w:p w14:paraId="5DD09508" w14:textId="1D6B9CF7" w:rsidR="00B428A2" w:rsidRDefault="00000000">
      <w:r>
        <w:t>Risk management objectives and policies 16/243 Governance and risk methodologies Pillar III tables Municipality Finance Plc Pillar III Disclosure Report 202</w:t>
      </w:r>
      <w:r w:rsidR="00BF26B8">
        <w:t>3.</w:t>
      </w:r>
    </w:p>
    <w:p w14:paraId="25F23491" w14:textId="77777777" w:rsidR="00B428A2" w:rsidRDefault="00000000">
      <w:r>
        <w:t>MuniFin Group’s overall risk profile is described in the Risk Appetite Framework approved by the Board and updated at least annually.</w:t>
      </w:r>
    </w:p>
    <w:p w14:paraId="57D75E4A" w14:textId="77777777" w:rsidR="00B428A2" w:rsidRDefault="00000000">
      <w:r>
        <w:t>The RAF is linked to both short-term and long-term strategic goals, the Capital Plan, the Liquidity and Funding Plan, the Recovery Plan and the Remuneration Policy.</w:t>
      </w:r>
    </w:p>
    <w:p w14:paraId="7C491EE3" w14:textId="77777777" w:rsidR="00B428A2" w:rsidRDefault="00000000">
      <w:r>
        <w:t>At least annually, the risk limits and thresholds are reviewed and recalibrated in order to align the RAF with MuniFin Group’s strategy, external and macro-economic developments and ICAAP/ILAAP outcomes.</w:t>
      </w:r>
    </w:p>
    <w:p w14:paraId="1C32DAC9" w14:textId="77777777" w:rsidR="00B428A2" w:rsidRDefault="00000000">
      <w:r>
        <w:t>The available historical data, regulatory requirements and external benchmarks as well as other publicly available information are used to establish, evaluate and calibrate the thresholds.</w:t>
      </w:r>
    </w:p>
    <w:p w14:paraId="66000F48" w14:textId="77777777" w:rsidR="00B428A2" w:rsidRDefault="00000000">
      <w:r>
        <w:t>Risk management objectives and policies 17/243 Governance and risk methodologies Pillar III tables Municipality Finance Plc Pillar III Disclosure Report 2023 A “traffic light approach” is used to set the thresholds and to report the risk levels for each of the risk indicators.</w:t>
      </w:r>
    </w:p>
    <w:p w14:paraId="2B573B30" w14:textId="77777777" w:rsidR="00B428A2" w:rsidRDefault="00000000">
      <w:r>
        <w:t>MuniFin Group’s risk management and internal control practices and processes are developed continuously.</w:t>
      </w:r>
    </w:p>
    <w:p w14:paraId="4C8667D8" w14:textId="77777777" w:rsidR="00B428A2" w:rsidRDefault="00000000">
      <w:r>
        <w:t>Risk management objectives and policies 20/243 Governance and risk methodologies Pillar III tables Municipality Finance Plc Pillar III Disclosure Report 2023 Key figures of profitability and capital on the Risk Appetite Dashboard 31 Dec 2023 31 Dec 2022 Change in the CET1 ratio, percentage point 5.</w:t>
      </w:r>
    </w:p>
    <w:p w14:paraId="5B4AA747" w14:textId="77777777" w:rsidR="00B428A2" w:rsidRDefault="00000000">
      <w:r>
        <w:t>Risk management identifies the appropriate strategy to address material risks.</w:t>
      </w:r>
    </w:p>
    <w:p w14:paraId="5A003884" w14:textId="77777777" w:rsidR="00B428A2" w:rsidRDefault="00000000">
      <w:r>
        <w:t>In the case of a breach being identified within the first line of defence, the breach is reported to the Risk Management and then escalated according to relevant governance processes, e.</w:t>
      </w:r>
    </w:p>
    <w:p w14:paraId="5585051B" w14:textId="77777777" w:rsidR="00B428A2" w:rsidRDefault="00000000">
      <w:r>
        <w:t>A breach of risk appetite limits must follow RAF escalation processes.</w:t>
      </w:r>
    </w:p>
    <w:p w14:paraId="6B21BEE3" w14:textId="77777777" w:rsidR="00B428A2" w:rsidRDefault="00000000">
      <w:r>
        <w:lastRenderedPageBreak/>
        <w:t>Risk management objectives and policies 22/243 Governance and risk methodologies Pillar III tables Municipality Finance Plc Pillar III Disclosure Report 2023 financial sector in line with the Fit-for-55 package and to gain insights into the capacity of the financial system to support the transition to a lower carbon economy under conditions of stress.</w:t>
      </w:r>
    </w:p>
    <w:p w14:paraId="08A501C1" w14:textId="77777777" w:rsidR="00B428A2" w:rsidRDefault="00000000">
      <w:r>
        <w:t>Controlling capital adequacy is a continuous and an essential part of MuniFin Group’s strategic planning process, which covers setting strategic goals, specifying development projects and making financial forecasts for the following years.</w:t>
      </w:r>
    </w:p>
    <w:p w14:paraId="3D41032F" w14:textId="77777777" w:rsidR="00B428A2" w:rsidRDefault="00000000">
      <w:r>
        <w:t>Capital is managed to maintain financial strength, absorb losses to withstand adverse economic conditions, allow for growth opportunities and meet other risk management, regulatory and business objectives.</w:t>
      </w:r>
    </w:p>
    <w:p w14:paraId="0223F327" w14:textId="77777777" w:rsidR="00B428A2" w:rsidRDefault="00000000">
      <w:r>
        <w:t>Risk management objectives and policies 23/243 Governance and risk methodologies Pillar III tables Municipality Finance Plc Pillar III Disclosure Report 2023 Credit risk refers to the possibility that MuniFin Group’s counterparty fails to meet its obligations in accordance with the agreed terms and conditions.</w:t>
      </w:r>
    </w:p>
    <w:p w14:paraId="3833C0D0" w14:textId="77777777" w:rsidR="00B428A2" w:rsidRDefault="00000000">
      <w:r>
        <w:t>MuniFin Group’s Credit risk policy and credit risk management practices rely significantly on this principle.</w:t>
      </w:r>
    </w:p>
    <w:p w14:paraId="3478B465" w14:textId="77777777" w:rsidR="00B428A2" w:rsidRDefault="00000000">
      <w:r>
        <w:t>The EMT has established three decision-making bodies that have been given tasks in terms of credit risk management.</w:t>
      </w:r>
    </w:p>
    <w:p w14:paraId="15AD6674" w14:textId="77777777" w:rsidR="00B428A2" w:rsidRDefault="00000000">
      <w:r>
        <w:t>Finnish municipalities can also establish joint municipal authorities to provide services that they are legally required to provide for their citizens or undertake regional development activities.</w:t>
      </w:r>
    </w:p>
    <w:p w14:paraId="384028DD" w14:textId="77777777" w:rsidR="00B428A2" w:rsidRDefault="00000000">
      <w:r>
        <w:t>Because such a guarantee is required to reduce the credit risk, all loans granted are classified as 3.</w:t>
      </w:r>
    </w:p>
    <w:p w14:paraId="106C6D05" w14:textId="77777777" w:rsidR="00B428A2" w:rsidRDefault="00000000">
      <w:r>
        <w:t>Credit and counterparty risk 26/243 Governance and risk methodologies Pillar III tables Municipality Finance Plc Pillar III Disclosure Report 2023 zero-risk when calculating capital adequacy.</w:t>
      </w:r>
    </w:p>
    <w:p w14:paraId="2A9F1E47" w14:textId="77777777" w:rsidR="00B428A2" w:rsidRDefault="00000000">
      <w:r>
        <w:t>The Risk Management and Compliance division is responsible for producing regular risk reporting on the Group’s risk positions including indicators set in the RAF.</w:t>
      </w:r>
    </w:p>
    <w:p w14:paraId="35594BE1" w14:textId="77777777" w:rsidR="00B428A2" w:rsidRDefault="00000000">
      <w:r>
        <w:t>At least on an annual basis, the risk limits and thresholds are reviewed and recalibrated in order to align the RAF with the Group’s strategy and external and macro-economic developments.</w:t>
      </w:r>
    </w:p>
    <w:p w14:paraId="3DC0D885" w14:textId="77777777" w:rsidR="00B428A2" w:rsidRDefault="00000000">
      <w:r>
        <w:t>Market risk management utilises the existing governance structure and processes involving all organisational levels of MuniFin Group.</w:t>
      </w:r>
    </w:p>
    <w:p w14:paraId="2A3F41BB" w14:textId="77777777" w:rsidR="00B428A2" w:rsidRDefault="00000000">
      <w:r>
        <w:t xml:space="preserve">In addition, the Funding and Sustainability unit, as another first line risk owner, is responsible for executing funding transactions so that both suitability and hedging </w:t>
      </w:r>
      <w:r>
        <w:lastRenderedPageBreak/>
        <w:t>possibilities of new funding is always assessed according to the set principles before entering into a transaction.</w:t>
      </w:r>
    </w:p>
    <w:p w14:paraId="57C96D7C" w14:textId="77777777" w:rsidR="00B428A2" w:rsidRDefault="00000000">
      <w:r>
        <w:t>The Risk Management function identifies, measures, manages, monitors and reports risks independently from the business functions.</w:t>
      </w:r>
    </w:p>
    <w:p w14:paraId="657A23FB" w14:textId="77777777" w:rsidR="00B428A2" w:rsidRDefault="00000000">
      <w:r>
        <w:t>The independent Compliance function’s task is to ensure that MuniFin Group complies with internal and external regulations related to market risk.</w:t>
      </w:r>
    </w:p>
    <w:p w14:paraId="19C350A4" w14:textId="187FD491" w:rsidR="00B428A2" w:rsidRDefault="00000000">
      <w:r>
        <w:t>In addition, the Committee is responsible for reviewing market risk related reporting.</w:t>
      </w:r>
    </w:p>
    <w:p w14:paraId="209B3713" w14:textId="77777777" w:rsidR="00B428A2" w:rsidRDefault="00000000">
      <w:r>
        <w:t>The Risk MT’s task is to ensure that the Group’s risks remain within risk appetite and at a level sufficient to maintain the Group’s business continuity, strong credit rating and compliance with relevant regulatory requirements.</w:t>
      </w:r>
    </w:p>
    <w:p w14:paraId="7D9C8F78" w14:textId="77777777" w:rsidR="00B428A2" w:rsidRDefault="00000000">
      <w:r>
        <w:t>The purpose of market risk management is to ensure that the market risk arising from the Group’s banking book correspond to the accepted risk profile as defined in the RAF.</w:t>
      </w:r>
    </w:p>
    <w:p w14:paraId="7A38D7F1" w14:textId="77777777" w:rsidR="00B428A2" w:rsidRDefault="00000000">
      <w:r>
        <w:t>The hedging relationships within hedge accounting are documented and they comply with the Group’s risk management objectives and strategy.</w:t>
      </w:r>
    </w:p>
    <w:p w14:paraId="71C12139" w14:textId="77777777" w:rsidR="00B428A2" w:rsidRDefault="00000000">
      <w:r>
        <w:t>Treasury supports the Capital Markets MT in relation to IRRBB risk management activities and is responsible for managing interest rate risk at an operational level in accordance with the risk appetite and the decisions made by the Capital Markets MT.</w:t>
      </w:r>
    </w:p>
    <w:p w14:paraId="19247E79" w14:textId="77777777" w:rsidR="00B428A2" w:rsidRDefault="00000000">
      <w:r>
        <w:t>Interest rate risk is regularly controlled and reported by the Risk Management and Compliance.</w:t>
      </w:r>
    </w:p>
    <w:p w14:paraId="281497B0" w14:textId="77777777" w:rsidR="00B428A2" w:rsidRDefault="00000000">
      <w:r>
        <w:t>Market risk 36/243 Governance and risk methodologies Pillar III tables Municipality Finance Plc Pillar III Disclosure Report 2023 Interest rate sensitivity Interest rate sensitivity or Economic Value of Equity measures how much the present value of assets and liabilities will fluctuate due to changes in the interest rate environment.</w:t>
      </w:r>
    </w:p>
    <w:p w14:paraId="390C0977" w14:textId="77777777" w:rsidR="00B428A2" w:rsidRDefault="00000000">
      <w:r>
        <w:t>Performance against the limits and thresholds are monitored on a regular basis and reported to the EMT, Risk MT, Capital Markets MT monthly and to the Risk Committee at each meeting and ultimately to each meeting of the Board.</w:t>
      </w:r>
    </w:p>
    <w:p w14:paraId="1DD3DB7F" w14:textId="77777777" w:rsidR="00B428A2" w:rsidRDefault="00000000">
      <w:r>
        <w:t>Monthly reports of market risk development are delivered to the Board, Risk Committee and EMT as part of regular risk reporting.</w:t>
      </w:r>
    </w:p>
    <w:p w14:paraId="639852A1" w14:textId="77777777" w:rsidR="00B428A2" w:rsidRDefault="00000000">
      <w:r>
        <w:t>Market risk 40/243 Governance and risk methodologies Pillar III tables Municipality Finance Plc Pillar III Disclosure Report 2023 Liquidity and funding risk is the risk that MuniFin Group is unable to meet its financial obligations as they become due, resulting in an inability to support normal business activities, or a failure to meet regulatory liquidity requirements or rating agency expectations.</w:t>
      </w:r>
    </w:p>
    <w:p w14:paraId="65A6CCDE" w14:textId="77777777" w:rsidR="00B428A2" w:rsidRDefault="00000000">
      <w:r>
        <w:lastRenderedPageBreak/>
        <w:t>The objective of MuniFin Group’s liquidity and funding risk management is to maintain an adequate liquidity buffer and a sustainable funding position and profile, even in stress periods.</w:t>
      </w:r>
    </w:p>
    <w:p w14:paraId="4B0E4D72" w14:textId="77777777" w:rsidR="00B428A2" w:rsidRDefault="00000000">
      <w:r>
        <w:t>Capital Markets and Sustainability as first line risk owners are also responsible for ensuring that liquidity guidelines, instructions and processes are in place and that the Group is operating in line with the defined risk appetite at any given time.</w:t>
      </w:r>
    </w:p>
    <w:p w14:paraId="7EBDDE5C" w14:textId="77777777" w:rsidR="00B428A2" w:rsidRDefault="00000000">
      <w:r>
        <w:t>The Risk Management function identifies, measures, monitors and reports liquidity risk independently from the business units.</w:t>
      </w:r>
    </w:p>
    <w:p w14:paraId="5508685B" w14:textId="77777777" w:rsidR="00B428A2" w:rsidRDefault="00000000">
      <w:r>
        <w:t>It ensures that risks remain within the set limits and that the Risk Management Framework is in line with MuniFin Group’s risk strategy and appetite, and provides recommendations for updates and revisions where necessary.</w:t>
      </w:r>
    </w:p>
    <w:p w14:paraId="3E984B58" w14:textId="77777777" w:rsidR="00B428A2" w:rsidRDefault="00000000">
      <w:r>
        <w:t>Also, the Contingency Funding Plan as part of the ILAAP framework for recognising, managing and responding to the possible future liquidity and funding stress situations, is approved by the Board.</w:t>
      </w:r>
    </w:p>
    <w:p w14:paraId="738F321A" w14:textId="77777777" w:rsidR="00B428A2" w:rsidRDefault="00000000">
      <w:r>
        <w:t>The Capital Markets MT is responsible for the first line liquidity and funding risk management related to monitoring and decisions of quality and quantity of liquidity and funding.</w:t>
      </w:r>
    </w:p>
    <w:p w14:paraId="5782060E" w14:textId="77777777" w:rsidR="00B428A2" w:rsidRDefault="00000000">
      <w:r>
        <w:t>At least on a yearly basis, the risk indicators, limits and threshold values are reviewed and calibrated in order to align the RAF with the Group’s strategy and external and macro-economic developments.</w:t>
      </w:r>
    </w:p>
    <w:p w14:paraId="322F359B" w14:textId="77777777" w:rsidR="00B428A2" w:rsidRDefault="00000000">
      <w:r>
        <w:t>The FTP framework supports the overall risk management of MuniFin Group in relation to liquidity and interest rate risk and supports sustainable profitability.</w:t>
      </w:r>
    </w:p>
    <w:p w14:paraId="58285213" w14:textId="77777777" w:rsidR="00B428A2" w:rsidRDefault="00000000">
      <w:r>
        <w:t>Liquidity risk 44/243 Governance and risk methodologies Pillar III tables Municipality Finance Plc Pillar III Disclosure Report 2023 MuniFin Group’s funding is guaranteed by the Municipal Guarantee Board , which has the same credit ratings from Moody’s and Standard &amp; Poor’s as MuniFin and the State of Finland.</w:t>
      </w:r>
    </w:p>
    <w:p w14:paraId="1DE189C8" w14:textId="77777777" w:rsidR="00B428A2" w:rsidRDefault="00000000">
      <w:r>
        <w:t>The Risk Management monitors, on a daily basis, the development of the RAF liquidity risk indicators.</w:t>
      </w:r>
    </w:p>
    <w:p w14:paraId="706F8031" w14:textId="77777777" w:rsidR="00B428A2" w:rsidRDefault="00000000">
      <w:r>
        <w:t>The ILAAP is an integral part of MuniFin Group’s risk management framework.</w:t>
      </w:r>
    </w:p>
    <w:p w14:paraId="0095BD08" w14:textId="77777777" w:rsidR="00B428A2" w:rsidRDefault="00000000">
      <w:r>
        <w:t>The EMT also assures that the liquidity risk management systems put in place are adequate with regard to the Group’s profile and strategy.</w:t>
      </w:r>
    </w:p>
    <w:p w14:paraId="0B819EAC" w14:textId="77777777" w:rsidR="00B428A2" w:rsidRDefault="00000000">
      <w:r>
        <w:t>In addition, the function monitors and reports the adequacy and effectiveness of the operational risk framework on a regular basis to the Board.</w:t>
      </w:r>
    </w:p>
    <w:p w14:paraId="06B0D9E5" w14:textId="77777777" w:rsidR="00B428A2" w:rsidRDefault="00000000">
      <w:r>
        <w:t>The same function is responsible for developing and maintaining the framework for managing compliance risk.</w:t>
      </w:r>
    </w:p>
    <w:p w14:paraId="49A3E804" w14:textId="77777777" w:rsidR="00B428A2" w:rsidRDefault="00000000">
      <w:r>
        <w:lastRenderedPageBreak/>
        <w:t>It also supports the first line of defence in their implementation of the compliance risk framework.</w:t>
      </w:r>
    </w:p>
    <w:p w14:paraId="3008BE07" w14:textId="77777777" w:rsidR="00B428A2" w:rsidRDefault="00000000">
      <w:r>
        <w:t>In addition, to ensure the independence of the Compliance function, the Head of Compliance may report directly to the Board’s Audit Committee and to the CEO.</w:t>
      </w:r>
    </w:p>
    <w:p w14:paraId="5A6EE93C" w14:textId="77777777" w:rsidR="00B428A2" w:rsidRDefault="00000000">
      <w:r>
        <w:t>MuniFin Group’s Compliance function continuously monitors the development in legislation and regulations issued by authorities relevant to the Group’s operations and ensures that any regulatory changes are appropriately responded to.</w:t>
      </w:r>
    </w:p>
    <w:p w14:paraId="6BF682B4" w14:textId="77777777" w:rsidR="00B428A2" w:rsidRDefault="00000000">
      <w:r>
        <w:t>The Group mitigates this risk by maintaining active contacts with the authorities and interest groups as well as through the organisation of the Group’s internal Compliance function incl.</w:t>
      </w:r>
    </w:p>
    <w:p w14:paraId="6B012069" w14:textId="77777777" w:rsidR="00B428A2" w:rsidRDefault="00000000">
      <w:r>
        <w:t>Operational risk 49/243 Governance and risk methodologies Pillar III tables Municipality Finance Plc Pillar III Disclosure Report 2023 MuniFin Group has significant information system and business process related projects aimed at improving the quality, efficiency and regulatory compliance of current operations.</w:t>
      </w:r>
    </w:p>
    <w:p w14:paraId="25454113" w14:textId="77777777" w:rsidR="00B428A2" w:rsidRDefault="00000000">
      <w:r>
        <w:t>Remuneration policy 52/243 Governance and risk methodologies Pillar III tables Municipality Finance Plc Pillar III Disclosure Report 2023 More quantitative information on the remuneration is presented in other parts of this Report.</w:t>
      </w:r>
    </w:p>
    <w:p w14:paraId="6CDE4327" w14:textId="77777777" w:rsidR="00B428A2" w:rsidRDefault="00000000">
      <w:r>
        <w:t>The members of the Board are not employed i.</w:t>
      </w:r>
    </w:p>
    <w:p w14:paraId="25C3136D" w14:textId="77777777" w:rsidR="00B428A2" w:rsidRDefault="00000000">
      <w:r>
        <w:t>Are all non-executive members by the Company and are not covered by the Company’s Remuneration Policy.</w:t>
      </w:r>
    </w:p>
    <w:p w14:paraId="47CCF16C" w14:textId="77777777" w:rsidR="00B428A2" w:rsidRDefault="00000000">
      <w:r>
        <w:t>One remuneration framework applies to the executive management and the entire staff, unless otherwise decided due to the nature of employment e.</w:t>
      </w:r>
    </w:p>
    <w:p w14:paraId="1C569840" w14:textId="77777777" w:rsidR="00B428A2" w:rsidRDefault="00000000">
      <w:r>
        <w:t>The Board also monitors the remuneration of the material risk takers including the remuneration of the internal control functions such as compliance.</w:t>
      </w:r>
    </w:p>
    <w:p w14:paraId="411B84D3" w14:textId="77777777" w:rsidR="00B428A2" w:rsidRDefault="00000000">
      <w:r>
        <w:t>Remuneration policy 53/243 Governance and risk methodologies Pillar III tables Municipality Finance Plc Pillar III Disclosure Report 2023 At the end of 2023, the members of the Remuneration Committee were Kari Laukkanen Chair, Leena Vainiomäki and Maaria Eriksson.</w:t>
      </w:r>
    </w:p>
    <w:p w14:paraId="57C3679F" w14:textId="77777777" w:rsidR="00B428A2" w:rsidRDefault="00000000">
      <w:r>
        <w:t>Other stakeholders The Risk Committee monitors the setting of targets and variable remuneration to ensure compliance with the Company’s risk appetite.</w:t>
      </w:r>
    </w:p>
    <w:p w14:paraId="7E6B17D9" w14:textId="77777777" w:rsidR="00B428A2" w:rsidRDefault="00000000">
      <w:r>
        <w:t>The CRO and the Head of Compliance and Operational Risk Unit also provide the Board and its Committees with statements on whether the targets and remuneration are consistent with the company’s risk appetite and regulations.</w:t>
      </w:r>
    </w:p>
    <w:p w14:paraId="6D7EDEE8" w14:textId="77777777" w:rsidR="00B428A2" w:rsidRDefault="00000000">
      <w:r>
        <w:lastRenderedPageBreak/>
        <w:t>The Audit Committee’s role is to assist the Board in duties related to internal controls, financial reporting and internal and external auditing which are all relevant also for remuneration related processes.</w:t>
      </w:r>
    </w:p>
    <w:p w14:paraId="373A6CE2" w14:textId="77777777" w:rsidR="00B428A2" w:rsidRDefault="00000000">
      <w:r>
        <w:t>In addition, after the amendments made to the Remuneration Policy in 2023, the Audit Committee decides on the remuneration of the head and employees of internal audit function.</w:t>
      </w:r>
    </w:p>
    <w:p w14:paraId="576FE4A7" w14:textId="77777777" w:rsidR="00B428A2" w:rsidRDefault="00000000">
      <w:r>
        <w:t>The internal audit provides the Remuneration Committee and the Board with an annual statement on whether or not the Remuneration Policy has been complied with.</w:t>
      </w:r>
    </w:p>
    <w:p w14:paraId="7AA3D09A" w14:textId="77777777" w:rsidR="00B428A2" w:rsidRDefault="00000000">
      <w:r>
        <w:t>In addition, the internal audit regularly assesses the Remuneration Policy and the related documentation and the processes to the extent required by the legislation.</w:t>
      </w:r>
    </w:p>
    <w:p w14:paraId="7986A066" w14:textId="77777777" w:rsidR="00B428A2" w:rsidRDefault="00000000">
      <w:r>
        <w:t>From 2024 onwards, the employees of internal audit are not included in the variable remuneration framework.</w:t>
      </w:r>
    </w:p>
    <w:p w14:paraId="3CC45E05" w14:textId="77777777" w:rsidR="00B428A2" w:rsidRDefault="00000000">
      <w:r>
        <w:t>A fixed total salary forms the major portion of the total annual remuneration paid to the executive management and to other employees.</w:t>
      </w:r>
    </w:p>
    <w:p w14:paraId="5457AE1F" w14:textId="77777777" w:rsidR="00B428A2" w:rsidRDefault="00000000">
      <w:r>
        <w:t>In accordance with MuniFin’s strategy approved by the Board, MuniFin follows the development of salaries and remuneration in the finance sector and the operating environment.</w:t>
      </w:r>
    </w:p>
    <w:p w14:paraId="42BFBFF7" w14:textId="77777777" w:rsidR="00B428A2" w:rsidRDefault="00000000">
      <w:r>
        <w:t>The purpose of using external support is to ensure that the remuneration framework is consistent with the market practise.</w:t>
      </w:r>
    </w:p>
    <w:p w14:paraId="5134455D" w14:textId="77777777" w:rsidR="00B428A2" w:rsidRDefault="00000000">
      <w:r>
        <w:t>Remuneration policy 54/243 Governance and risk methodologies Pillar III tables Municipality Finance Plc Pillar III Disclosure Report 2023 Variable remuneration MuniFin’s business model and strategy are the key drivers of its financial success.</w:t>
      </w:r>
    </w:p>
    <w:p w14:paraId="5D55EA6F" w14:textId="77777777" w:rsidR="00B428A2" w:rsidRDefault="00000000">
      <w:r>
        <w:t>Variable remuneration is always based on performance supporting MuniFin’s business model, strategy and annual planning.</w:t>
      </w:r>
    </w:p>
    <w:p w14:paraId="440F8282" w14:textId="77777777" w:rsidR="00B428A2" w:rsidRDefault="00000000">
      <w:r>
        <w:t>The purpose of the variable remuneration is to promote achievement of challenging targets, to ensure availability and retention of skilled employees and to ensure and promote sound and effective management of remuneration process and practices considering MuniFin’s business model, risk profile including all risk types, corporate values, and the size of the organisation.</w:t>
      </w:r>
    </w:p>
    <w:p w14:paraId="220E9B6E" w14:textId="77777777" w:rsidR="00B428A2" w:rsidRDefault="00000000">
      <w:r>
        <w:t>Within the remuneration framework, all targets have a maximum level, a target level and a minimum level and the remuneration amount is paid based on achieving those levels.</w:t>
      </w:r>
    </w:p>
    <w:p w14:paraId="256D9B83" w14:textId="77777777" w:rsidR="00B428A2" w:rsidRDefault="00000000">
      <w:r>
        <w:t>In accordance with the Remuneration Policy, a maximum of the variable pay cannot exceed 100% of the fixed pay.</w:t>
      </w:r>
    </w:p>
    <w:p w14:paraId="78F3AE2E" w14:textId="77777777" w:rsidR="00B428A2" w:rsidRDefault="00000000">
      <w:r>
        <w:t>The targets and the weights of the targets related to the variable remuneration framework are set for each calendar year earnings year.</w:t>
      </w:r>
    </w:p>
    <w:p w14:paraId="376E0064" w14:textId="77777777" w:rsidR="00B428A2" w:rsidRDefault="00000000">
      <w:r>
        <w:lastRenderedPageBreak/>
        <w:t>Across all pay grades, the variable remuneration is based on both company level and individual performance targets.</w:t>
      </w:r>
    </w:p>
    <w:p w14:paraId="1211C28A" w14:textId="77777777" w:rsidR="00B428A2" w:rsidRDefault="00000000">
      <w:r>
        <w:t>The targets are set to support the Company’s strategy, operational targets and efficient risk management.</w:t>
      </w:r>
    </w:p>
    <w:p w14:paraId="4E60E32D" w14:textId="77777777" w:rsidR="00B428A2" w:rsidRDefault="00000000">
      <w:r>
        <w:t>The targets may not encourage employees to take risks that exceed the confirmed risk appetite.</w:t>
      </w:r>
    </w:p>
    <w:p w14:paraId="75F81447" w14:textId="77777777" w:rsidR="00B428A2" w:rsidRDefault="00000000">
      <w:r>
        <w:t>The weight of company and individual level targets varies between the remuneration categories.</w:t>
      </w:r>
    </w:p>
    <w:p w14:paraId="492EED51" w14:textId="77777777" w:rsidR="00B428A2" w:rsidRDefault="00000000">
      <w:r>
        <w:t>The CEO and the members of the EMT have company level targets, in addition to which they have their individual performance targets, relating to each member’s respective area of responsibility, set by the Board.</w:t>
      </w:r>
    </w:p>
    <w:p w14:paraId="28530A21" w14:textId="77777777" w:rsidR="00B428A2" w:rsidRDefault="00000000">
      <w:r>
        <w:t>Excellent individual performance in individual targets may be rewarded with special remuneration and poor individual performance may decrease the outcome of the company level performance targets.</w:t>
      </w:r>
    </w:p>
    <w:p w14:paraId="14B85554" w14:textId="77777777" w:rsidR="00B428A2" w:rsidRDefault="00000000">
      <w:r>
        <w:t>From 2024 onwards, the employees of internal audit are not included in the variable remuneration framework.</w:t>
      </w:r>
    </w:p>
    <w:p w14:paraId="7EAE39F9" w14:textId="77777777" w:rsidR="00B428A2" w:rsidRDefault="00000000">
      <w:r>
        <w:t>In accordance with the Remuneration Policy, the set performance targets may be adjusted by the same body having approved the original target in case of substantial extraordinary events during the performance year.</w:t>
      </w:r>
    </w:p>
    <w:p w14:paraId="7CF30A14" w14:textId="77777777" w:rsidR="00B428A2" w:rsidRDefault="00000000">
      <w:r>
        <w:t>Variable remuneration based on company level targets is paid annually, after the Financial Statements have been adopted for the earnings year.</w:t>
      </w:r>
    </w:p>
    <w:p w14:paraId="12D68E70" w14:textId="77777777" w:rsidR="00B428A2" w:rsidRDefault="00000000">
      <w:r>
        <w:t>Remuneration policy 55/243 Governance and risk methodologies Pillar III tables Municipality Finance Plc Pillar III Disclosure Report 2023 variable remuneration unlawfully.</w:t>
      </w:r>
    </w:p>
    <w:p w14:paraId="4C232B30" w14:textId="77777777" w:rsidR="00B428A2" w:rsidRDefault="00000000">
      <w:r>
        <w:t>Special remuneration based on excellent performance in individual targets may be paid during the year at the end of each assessment period.</w:t>
      </w:r>
    </w:p>
    <w:p w14:paraId="7C3CBBBB" w14:textId="77777777" w:rsidR="00B428A2" w:rsidRDefault="00000000">
      <w:r>
        <w:t>For those who the deferral rules apply to, half of the variable remuneration is tied to the development of MunFin’s Common Equity Tier 1 CET1 capital ratio a class of instrument used in remuneration in compliance with the regulations.</w:t>
      </w:r>
    </w:p>
    <w:p w14:paraId="40FAF955" w14:textId="77777777" w:rsidR="00B428A2" w:rsidRDefault="00000000">
      <w:r>
        <w:t>The positions at the Company meeting the criteria are identified in the Remuneration Policy and are as follows, the CEO and all other members of the EMT.</w:t>
      </w:r>
    </w:p>
    <w:p w14:paraId="773C0A37" w14:textId="77777777" w:rsidR="00B428A2" w:rsidRDefault="00000000">
      <w:r>
        <w:t>The company level targets of 2022, affecting the variable remuneration of all employees, focused on the Company’s operating profit, and customer satisfaction of both customers and capital markets counterparties as well as the Company’s external ESG risk rating by Sustainalytics.</w:t>
      </w:r>
    </w:p>
    <w:p w14:paraId="5560E61A" w14:textId="77777777" w:rsidR="00B428A2" w:rsidRDefault="00000000">
      <w:r>
        <w:lastRenderedPageBreak/>
        <w:t>In 2023, the maximum remuneration was not paid to any individuals out of all individuals covered by the Remuneration Policy.</w:t>
      </w:r>
    </w:p>
    <w:p w14:paraId="01685289" w14:textId="77777777" w:rsidR="00B428A2" w:rsidRDefault="00000000">
      <w:r>
        <w:t>Additionally, internal audit was excluded from the variable remuneration framework and in the future, remuneration for internal audit will consist solely of fixed remuneration.</w:t>
      </w:r>
    </w:p>
    <w:p w14:paraId="1A32F224" w14:textId="77777777" w:rsidR="00B428A2" w:rsidRDefault="00000000">
      <w:r>
        <w:t>The Group’s customers play a key role in the achievement of Finland’s national climate goals.</w:t>
      </w:r>
    </w:p>
    <w:p w14:paraId="2F80148A" w14:textId="77777777" w:rsidR="00B428A2" w:rsidRDefault="00000000">
      <w:r>
        <w:t>MuniFin Group sees customer engagement as an essential part of its sustainability commitments as well as risk management.</w:t>
      </w:r>
    </w:p>
    <w:p w14:paraId="5FA0BFB8" w14:textId="77777777" w:rsidR="00B428A2" w:rsidRDefault="00000000">
      <w:r>
        <w:t>The Group discusses sustainability topics with its customers and is committed to provide relevant information for its customers.</w:t>
      </w:r>
    </w:p>
    <w:p w14:paraId="34E7E646" w14:textId="77777777" w:rsidR="00B428A2" w:rsidRDefault="00000000">
      <w:r>
        <w:t>Along with the strategy update, the Board also approved MuniFin Group’s Sustainability Agenda, which is restated as “Enabler of sustainable welfare in society”.</w:t>
      </w:r>
    </w:p>
    <w:p w14:paraId="3F79E74B" w14:textId="77777777" w:rsidR="00B428A2" w:rsidRDefault="00000000">
      <w:r>
        <w:t>Earlier in 2023, MuniFin Group conducted a materiality analysis of sustainability topics, gauging what both external and internal stakeholder groups thought of different sustainability factors in terms of their impact materiality and financial materiality.</w:t>
      </w:r>
    </w:p>
    <w:p w14:paraId="42AAF63F" w14:textId="77777777" w:rsidR="00B428A2" w:rsidRDefault="00000000">
      <w:r>
        <w:t>In line with these themes, MuniFin Group’s goal is to support the development of a sustainable welfare society and promote investments that are friendly for the climate and environment.</w:t>
      </w:r>
    </w:p>
    <w:p w14:paraId="33B5AC19" w14:textId="77777777" w:rsidR="00B428A2" w:rsidRDefault="00000000">
      <w:r>
        <w:t>The amount of sustainable finance offers a clear and commensurate measure of MuniFin Group’s impact because all sustainable finance projects must meet pre-determined criteria set in respected frameworks that assess how these projects promote sustainability.</w:t>
      </w:r>
    </w:p>
    <w:p w14:paraId="5B98136C" w14:textId="77777777" w:rsidR="00B428A2" w:rsidRDefault="00000000">
      <w:r>
        <w:t>The share of sustainable finance also offers an overview of the sustainability of the Group’s business operations, which is crucial in terms of risk management.</w:t>
      </w:r>
    </w:p>
    <w:p w14:paraId="742DF5FD" w14:textId="77777777" w:rsidR="00B428A2" w:rsidRDefault="00000000">
      <w:r>
        <w:t>In the Group’s experience customers are more likely to discuss sustainability from a broader perspective when they are 59/243 Governance and risk methodologies Pillar III tables Municipality Finance Plc Pillar III Disclosure Report 2023 assessing their projects against the criteria for green finance.</w:t>
      </w:r>
    </w:p>
    <w:p w14:paraId="2242F05C" w14:textId="77777777" w:rsidR="00B428A2" w:rsidRDefault="00000000">
      <w:r>
        <w:t>For green finance the target is to achieve a share of 25% of MuniFin Group’s long-term customer financing by 2030.</w:t>
      </w:r>
    </w:p>
    <w:p w14:paraId="7D0BC03A" w14:textId="77777777" w:rsidR="00B428A2" w:rsidRDefault="00000000">
      <w:r>
        <w:t>The expected growth was based on the historical net growth of the green finance portfolio, loan maturities, total committed green finance, number of projects approved and market developments.</w:t>
      </w:r>
    </w:p>
    <w:p w14:paraId="46DA63DC" w14:textId="77777777" w:rsidR="00B428A2" w:rsidRDefault="00000000">
      <w:r>
        <w:t xml:space="preserve">The eligibility criteria of the Green Bond Framework takes into account the publication date EU Taxonomy Regulation and the EU Taxonomy Climate Delegated Act with the intention to </w:t>
      </w:r>
      <w:r>
        <w:lastRenderedPageBreak/>
        <w:t>apply them on a best effort basis, where there are feasible practical applications and support by local regulation.</w:t>
      </w:r>
    </w:p>
    <w:p w14:paraId="4335D340" w14:textId="77777777" w:rsidR="00B428A2" w:rsidRDefault="00000000">
      <w:r>
        <w:t>The result is that in addition to mandatory requirements, the project category specific criteria may include non-compulsory criteria to be considered and promoted in order to make environmentally friendly investments more attractive to MuniFin Group’s customers and facilitate the implementation of the EU Taxonomy.</w:t>
      </w:r>
    </w:p>
    <w:p w14:paraId="02F62069" w14:textId="77777777" w:rsidR="00B428A2" w:rsidRDefault="00000000">
      <w:r>
        <w:t>MuniFin Group has taken part in several local taxonomy working groups with the focus on the local taxonomy interpretations and process development, especially in the real estate and construction sector.</w:t>
      </w:r>
    </w:p>
    <w:p w14:paraId="37460DAC" w14:textId="77777777" w:rsidR="00B428A2" w:rsidRDefault="00000000">
      <w:r>
        <w:t>Environmental, Social and Governance risks ESG risks 60/243 Governance and risk methodologies Pillar III tables Municipality Finance Plc Pillar III Disclosure Report 2023 The Group sees green finance closely linked to the financed emissions goal, for example, financing targeted at more energy-efficient buildings promotes the decarbonisation of the real estate portfolio.</w:t>
      </w:r>
    </w:p>
    <w:p w14:paraId="15875BCD" w14:textId="77777777" w:rsidR="00B428A2" w:rsidRDefault="00000000">
      <w:r>
        <w:t>Besides the long-term targets set in the Sustainability Agenda described above, the Group has not set separate short-term or medium-term targets in relation to its customer exposures due to very limited exposure to climate-related and environmental risks as assessed in the materiality assessment conducted by the Risk Management function.</w:t>
      </w:r>
    </w:p>
    <w:p w14:paraId="04D98990" w14:textId="77777777" w:rsidR="00B428A2" w:rsidRDefault="00000000">
      <w:r>
        <w:t>However, despite of the described approach, the Group analyses climate-related and environmental risks of its customer groups with applicable methods further described under the following Risk management section.</w:t>
      </w:r>
    </w:p>
    <w:p w14:paraId="287F14BB" w14:textId="77777777" w:rsidR="00B428A2" w:rsidRDefault="00000000">
      <w:r>
        <w:t>The scorecard includes targets set in the Sustainability Agenda as well as other business and ESG issue related targets.</w:t>
      </w:r>
    </w:p>
    <w:p w14:paraId="2E4B2559" w14:textId="77777777" w:rsidR="00B428A2" w:rsidRDefault="00000000">
      <w:r>
        <w:t>Moreover, the Group publishes separate Green and Social Impact Reports, which include amount of green and social finance , number of green and social projects and total amount of socially responsible investments, inter alia.</w:t>
      </w:r>
    </w:p>
    <w:p w14:paraId="13E491E4" w14:textId="77777777" w:rsidR="00B428A2" w:rsidRDefault="00000000">
      <w:r>
        <w:t>Based on the qualitative and quantitative materiality assessment conducted by the Risk Management function, the Group is not, due to its specific business model, materially affected by other environmental impact or other environmental risks than climate risks as explained in this Report.</w:t>
      </w:r>
    </w:p>
    <w:p w14:paraId="42BD810A" w14:textId="77777777" w:rsidR="00B428A2" w:rsidRDefault="00000000">
      <w:r>
        <w:t>Most noteworthy policies include the Sustainability Policy, the RAF, risk policies and risk inventory.</w:t>
      </w:r>
    </w:p>
    <w:p w14:paraId="7B0C32B9" w14:textId="77777777" w:rsidR="00B428A2" w:rsidRDefault="00000000">
      <w:r>
        <w:t>This responsibility also includes acting in accordance with the Board-approved sustainability strategy and adjusting operations to the risk limits and goals set for ESG risks.</w:t>
      </w:r>
    </w:p>
    <w:p w14:paraId="1E02D819" w14:textId="77777777" w:rsidR="00B428A2" w:rsidRDefault="00000000">
      <w:r>
        <w:t>The EMT also approves the Group’s Green Bond Framework, Social Bond Framework and Sustainable Investment Framework.</w:t>
      </w:r>
    </w:p>
    <w:p w14:paraId="6E28F858" w14:textId="77777777" w:rsidR="00B428A2" w:rsidRDefault="00000000">
      <w:r>
        <w:lastRenderedPageBreak/>
        <w:t>The EMT is tasked with monitoring and guiding the development of the Group’s sustainability-related measures at the Group level and ensuring that sustainability is taken into account in accordance with the strategy in all areas of operations in a way that is appropriate for each case considering the materiality principle.</w:t>
      </w:r>
    </w:p>
    <w:p w14:paraId="176D6609" w14:textId="77777777" w:rsidR="00B428A2" w:rsidRDefault="00000000">
      <w:r>
        <w:t>Through regular theme meetings focusing on sustainability development but also through standard monthly and quarterly risk and financial reporting which highlight development of MuniFin Group’s sustainability indicators.</w:t>
      </w:r>
    </w:p>
    <w:p w14:paraId="5AF02DB3" w14:textId="77777777" w:rsidR="00B428A2" w:rsidRDefault="00000000">
      <w:r>
        <w:t>As part of the regular monitoring of the Group’s operations, the EMT must also ensure the identification and development of employees’ competence needs related to sustainability.</w:t>
      </w:r>
    </w:p>
    <w:p w14:paraId="4B162257" w14:textId="77777777" w:rsidR="00B428A2" w:rsidRDefault="00000000">
      <w:r>
        <w:t>The Sustainability agenda working group is responsible for companywide sustainability themes, including key principles of sustainability, sustainability agenda, targets and roadmap as well as reporting and ESG ratings.</w:t>
      </w:r>
    </w:p>
    <w:p w14:paraId="2B30362E" w14:textId="77777777" w:rsidR="00B428A2" w:rsidRDefault="00000000">
      <w:r>
        <w:t>Environmental, Social and Governance risks ESG risks 62/243 Governance and risk methodologies Pillar III tables Municipality Finance Plc Pillar III Disclosure Report 2023 The Sustainable Products and Services working group promotes the growth of MuniFin Group’s sustainable products and services and actively monitors development of regulation relating to sustainable financing and funding.</w:t>
      </w:r>
    </w:p>
    <w:p w14:paraId="739B3CA1" w14:textId="77777777" w:rsidR="00B428A2" w:rsidRDefault="00000000">
      <w:r>
        <w:t>In regard to the internal reporting on ESG risks, development of the climate-related and environmental risk specific RAF indicators are included in MuniFin Group’s monthly risk reporting to the EMT and the Board, including its Risk Committee.</w:t>
      </w:r>
    </w:p>
    <w:p w14:paraId="2571D5FD" w14:textId="77777777" w:rsidR="00B428A2" w:rsidRDefault="00000000">
      <w:r>
        <w:t>Therefore, MuniFin Group’s organisational setup has been enhanced to support development needs.</w:t>
      </w:r>
    </w:p>
    <w:p w14:paraId="1B2B1B29" w14:textId="77777777" w:rsidR="00B428A2" w:rsidRDefault="00000000">
      <w:r>
        <w:t>MuniFin Group’s Risk Management function, which forms part of the internal control function, includes an ESG risk analyst position to support the function’s identification and monitoring of ESG risks.</w:t>
      </w:r>
    </w:p>
    <w:p w14:paraId="5FBDBBF9" w14:textId="77777777" w:rsidR="00B428A2" w:rsidRDefault="00000000">
      <w:r>
        <w:t>MuniFin Group’s business and support functions in the first line of defence have also specific staffing to ensure that sustainability aspects are taken into account in daily business operations and external reporting including disclosure requirements are adhered to.</w:t>
      </w:r>
    </w:p>
    <w:p w14:paraId="0CE1359F" w14:textId="77777777" w:rsidR="00B428A2" w:rsidRDefault="00000000">
      <w:r>
        <w:t>The Compliance function has focussed on supporting the organisation in ESG related regulatory development monitoring.</w:t>
      </w:r>
    </w:p>
    <w:p w14:paraId="36D2D966" w14:textId="77777777" w:rsidR="00B428A2" w:rsidRDefault="00000000">
      <w:r>
        <w:t>In the future, once regulatory requirements are more comprehensively in place, the Compliance function’s monitoring actions will increasingly take into account climate-related and environmental risks related regulatory compliance.</w:t>
      </w:r>
    </w:p>
    <w:p w14:paraId="51EAE037" w14:textId="77777777" w:rsidR="00B428A2" w:rsidRDefault="00000000">
      <w:r>
        <w:t>Due to the Group’s limited environmental risk position, its current remuneration framework does not specifically include MuniFin Group’s exposures related to climaterelated and environmental risks.</w:t>
      </w:r>
    </w:p>
    <w:p w14:paraId="3AA886BB" w14:textId="77777777" w:rsidR="00B428A2" w:rsidRDefault="00000000">
      <w:r>
        <w:lastRenderedPageBreak/>
        <w:t>However, MuniFin Group’s current variable remuneration framework includes an ESG indicator for the Group’s own ESG scoring and thus takes into account also the environmental risk aspect of MuniFin Group’s operations, as defined by the external rating model.</w:t>
      </w:r>
    </w:p>
    <w:p w14:paraId="6E458B39" w14:textId="77777777" w:rsidR="00B428A2" w:rsidRDefault="00000000">
      <w:r>
        <w:t>MuniFin Group has conducted a materiality assessment to identify the Group’s exposure to climate-related and environmental risks.</w:t>
      </w:r>
    </w:p>
    <w:p w14:paraId="7CFAFAFF" w14:textId="77777777" w:rsidR="00B428A2" w:rsidRDefault="00000000">
      <w:r>
        <w:t>Environmental, Social and Governance risks ESG risks 63/243 Governance and risk methodologies Pillar III tables Municipality Finance Plc Pillar III Disclosure Report 2023 Risk Transmission channel Description Credit Risk Lower real estate value Increased energy consumption, renovation needs and locations at risk of extreme weather events can have a negative impact to the value of counterparties’ real estate/collateral.</w:t>
      </w:r>
    </w:p>
    <w:p w14:paraId="437BFB0D" w14:textId="77777777" w:rsidR="00B428A2" w:rsidRDefault="00000000">
      <w:r>
        <w:t>Increase cost of compliance Strengthened regulatory requirements can set new requirements for companies to renovate real estate or increase the pressure to rent or sell non-energy-efficient real estate.</w:t>
      </w:r>
    </w:p>
    <w:p w14:paraId="065B09A7" w14:textId="77777777" w:rsidR="00B428A2" w:rsidRDefault="00000000">
      <w:r>
        <w:t>Increased volatility Climate-related and environmental factors can cause significant changes or uncertainty in the market that may have a negative impact on volatility increasing the risks for MuniFin Group.</w:t>
      </w:r>
    </w:p>
    <w:p w14:paraId="6D8DFCAB" w14:textId="77777777" w:rsidR="00B428A2" w:rsidRDefault="00000000">
      <w:r>
        <w:t>In the case that MuniFin Group fails to increase green lending to its customers, it may not be able to issue an adequate amount of green bonds to meet its funding requirements.</w:t>
      </w:r>
    </w:p>
    <w:p w14:paraId="7B232461" w14:textId="77777777" w:rsidR="00B428A2" w:rsidRDefault="00000000">
      <w:r>
        <w:t>Operational risk Increased legal cost and cost of compliance Climate-related and environmental matters can increase the Group’s legal and regulatory compliance risk and risk of increased litigation costs if MuniFin Group fails to comply with relevant standards and legislation.</w:t>
      </w:r>
    </w:p>
    <w:p w14:paraId="0E378B9C" w14:textId="77777777" w:rsidR="00B428A2" w:rsidRDefault="00000000">
      <w:r>
        <w:t>Reputational risk Increased legal cost and cost of compliance Climate risk events of any material customer, counterparty supplier or the Group’s own actions may lead to financial impacts via reputational damages depending on the third-party connectedness to MuniFin Group and severity of the event.</w:t>
      </w:r>
    </w:p>
    <w:p w14:paraId="03F3A895" w14:textId="77777777" w:rsidR="00B428A2" w:rsidRDefault="00000000">
      <w:r>
        <w:t>Environmental, Social and Governance risks ESG risks 64/243 Governance and risk methodologies Pillar III tables Municipality Finance Plc Pillar III Disclosure Report 2023 The Group’s exposure to climate-related and environmental risks is considered low.</w:t>
      </w:r>
    </w:p>
    <w:p w14:paraId="3597057E" w14:textId="77777777" w:rsidR="00B428A2" w:rsidRDefault="00000000">
      <w:r>
        <w:t>Due to MuniFin Group’s restricted business model and conservative risk strategy, MuniFin Group’s operations cannot be broadened to new customer groups with a higher environmental risk exposure.</w:t>
      </w:r>
    </w:p>
    <w:p w14:paraId="7DBA7070" w14:textId="77777777" w:rsidR="00B428A2" w:rsidRDefault="00000000">
      <w:r>
        <w:t xml:space="preserve">However, potential environmental risk events affecting the Group’s customers where there is no collateral pledged for the benefit of MuniFin Group are considered to have low risk impact on the Group as exposures are direct or indirect municipal risk and thus, based on </w:t>
      </w:r>
      <w:r>
        <w:lastRenderedPageBreak/>
        <w:t>Finnish legislation, no final credit losses can be expected as municipalities cannot be declared bankrupt, and they have independent and unlimited right to levy taxes.</w:t>
      </w:r>
    </w:p>
    <w:p w14:paraId="74786555" w14:textId="77777777" w:rsidR="00B428A2" w:rsidRDefault="00000000">
      <w:r>
        <w:t>Moreover, the framework defines sustainability criteria that need to be fulfilled both in making new investments and during the lifetime of investments.</w:t>
      </w:r>
    </w:p>
    <w:p w14:paraId="49D45641" w14:textId="77777777" w:rsidR="00B428A2" w:rsidRDefault="00000000">
      <w:r>
        <w:t>Therefore, climate-related, and environmental risks, although considered having low impact on the Group, will be increasingly integrated in MuniFin Group’s strategy, risk appetite, credit granting process and investment activities to support decision-making and monitor and mitigate risks.</w:t>
      </w:r>
    </w:p>
    <w:p w14:paraId="71FDD680" w14:textId="77777777" w:rsidR="00B428A2" w:rsidRDefault="00000000">
      <w:r>
        <w:t>MuniFin Group also recognises the uncertain nature and emerging risks of climate change and at least annually update its materiality assessment where its exposure to climate-related and environmental risks is evaluated.</w:t>
      </w:r>
    </w:p>
    <w:p w14:paraId="321AD301" w14:textId="77777777" w:rsidR="00B428A2" w:rsidRDefault="00000000">
      <w:r>
        <w:t>The Group measures climate-related and environmental risks of its customers with different applicable methods.</w:t>
      </w:r>
    </w:p>
    <w:p w14:paraId="4A1D936C" w14:textId="77777777" w:rsidR="00B428A2" w:rsidRDefault="00000000">
      <w:r>
        <w:t>MuniFin Group supports risk management with sustainability linked strategic targets and goals defined in the strategy and in the Sustainability Agenda.</w:t>
      </w:r>
    </w:p>
    <w:p w14:paraId="6BAD69B4" w14:textId="77777777" w:rsidR="00B428A2" w:rsidRDefault="00000000">
      <w:r>
        <w:t>MuniFin Group has a Board approved RAF reflecting the Group’s conservative approach to all material risks and setting a limit framework for these risks.</w:t>
      </w:r>
    </w:p>
    <w:p w14:paraId="76BD0590" w14:textId="77777777" w:rsidR="00B428A2" w:rsidRDefault="00000000">
      <w:r>
        <w:t>Environmental, Social and Governance risks ESG risks 65/243 Governance and risk methodologies Pillar III tables Municipality Finance Plc Pillar III Disclosure Report 2023 and environmental risks, the Group’s Board with the support of the Risk Committee has set limits for risk indicators for environmental risk.</w:t>
      </w:r>
    </w:p>
    <w:p w14:paraId="4C8B6A29" w14:textId="77777777" w:rsidR="00B428A2" w:rsidRDefault="00000000">
      <w:r>
        <w:t>In addition, as required by the Group’s Sustainability Policy and EBA Loan Origination EBA/GL/2020/06, ESG factors have been integrated in the customer lending process.</w:t>
      </w:r>
    </w:p>
    <w:p w14:paraId="1B7482AF" w14:textId="77777777" w:rsidR="00B428A2" w:rsidRDefault="00000000">
      <w:r>
        <w:t>The Group recognises data limitations associated with climate-related and environmental risk management.</w:t>
      </w:r>
    </w:p>
    <w:p w14:paraId="5FC63A9B" w14:textId="77777777" w:rsidR="00B428A2" w:rsidRDefault="00000000">
      <w:r>
        <w:t>MuniFin Group’s customers are mainly not in the scope of ESG disclosure regulation and customers disclose climate-related and environmental information mainly on voluntary basis.</w:t>
      </w:r>
    </w:p>
    <w:p w14:paraId="52C32DA4" w14:textId="77777777" w:rsidR="00B428A2" w:rsidRDefault="00000000">
      <w:r>
        <w:t>MuniFin Group sees that dialogue with customers and increased awareness will decrease the risks associated with customers and increase the quality and the availability of the data as the customers increasingly consider climate-related and environmental risks as well as other ESG risks in their operations.</w:t>
      </w:r>
    </w:p>
    <w:p w14:paraId="24BAC48C" w14:textId="77777777" w:rsidR="00B428A2" w:rsidRDefault="00000000">
      <w:r>
        <w:t>The Group is committed to understanding, monitoring and managing the social impact of its own activities and the financing offered to its customers in order to contribute to the Finnish society’s wider goals of sustainable development.</w:t>
      </w:r>
    </w:p>
    <w:p w14:paraId="2C12EBC7" w14:textId="77777777" w:rsidR="00B428A2" w:rsidRDefault="00000000">
      <w:r>
        <w:lastRenderedPageBreak/>
        <w:t>The Group deems that as a public sector financier its lending activities can promote socially sustainable objectives.</w:t>
      </w:r>
    </w:p>
    <w:p w14:paraId="6CEBFE9E" w14:textId="77777777" w:rsidR="00B428A2" w:rsidRDefault="00000000">
      <w:r>
        <w:t>Environmental, Social and Governance risks ESG risks 66/243 Governance and risk methodologies Pillar III tables Municipality Finance Plc Pillar III Disclosure Report 2023 The main risk mitigation approach for social risk is already taken in the form of MuniFin Group’s specific business model, which allows as defined by the Act on Municipal Guarantee Board to use the MGB guaranteed funding only for a limited customer base consisting of local and regional government entities and affordable social housing production entities, and thus considered low risk entities in respect of social risk.</w:t>
      </w:r>
    </w:p>
    <w:p w14:paraId="3493DE9F" w14:textId="77777777" w:rsidR="00B428A2" w:rsidRDefault="00000000">
      <w:r>
        <w:t>Furthermore, affordable social housing production organisations are non-profit entities whose operations are monitored by The Housing Finance and Development Centre of Finland and therefore similar general approach in relation to those is justified.</w:t>
      </w:r>
    </w:p>
    <w:p w14:paraId="27D050E8" w14:textId="77777777" w:rsidR="00B428A2" w:rsidRDefault="00000000">
      <w:r>
        <w:t>In addition, a significant perspective regarding MuniFin Group’s customer finance and approach to social and administrative risks is the law on public procurement which applies to majority of the Group’s customers.</w:t>
      </w:r>
    </w:p>
    <w:p w14:paraId="7DBC9145" w14:textId="77777777" w:rsidR="00B428A2" w:rsidRDefault="00000000">
      <w:r>
        <w:t>Finally, MuniFin Group has no historical evidence, since the establishment of the Company, on social risk related challenges among its customers having impact on the Group’s exposures.</w:t>
      </w:r>
    </w:p>
    <w:p w14:paraId="461DFEB9" w14:textId="77777777" w:rsidR="00B428A2" w:rsidRDefault="00000000">
      <w:r>
        <w:t>However, despite of the described approach, MuniFin Group’s customer risk rating model includes also monitoring customers in perspective of social risk and the annual customer analysis takes into account potential social risk related events.</w:t>
      </w:r>
    </w:p>
    <w:p w14:paraId="07C1E663" w14:textId="77777777" w:rsidR="00B428A2" w:rsidRDefault="00000000">
      <w:r>
        <w:t>Project selection is based on the Group’s Social Bond Framework.</w:t>
      </w:r>
    </w:p>
    <w:p w14:paraId="34B01C03" w14:textId="77777777" w:rsidR="00B428A2" w:rsidRDefault="00000000">
      <w:r>
        <w:t>The expected growth was based on the historical net growth of the social finance portfolio, loan maturities, total committed social finance, number of projects approved and market developments.</w:t>
      </w:r>
    </w:p>
    <w:p w14:paraId="632F73D5" w14:textId="77777777" w:rsidR="00B428A2" w:rsidRDefault="00000000">
      <w:r>
        <w:t>The Group has not set any additional short-term or mediumterm targets for its social finance product but monitors the progress of the long-term target yearly as part of the strategy.</w:t>
      </w:r>
    </w:p>
    <w:p w14:paraId="2E7B9CEE" w14:textId="77777777" w:rsidR="00B428A2" w:rsidRDefault="00000000">
      <w:r>
        <w:t>MuniFin Group sees that targeted finance to promote socially responsible projects limits social risks its customers and consequently the Group is exposed to.</w:t>
      </w:r>
    </w:p>
    <w:p w14:paraId="5740152D" w14:textId="77777777" w:rsidR="00B428A2" w:rsidRDefault="00000000">
      <w:r>
        <w:t>Environmental, Social and Governance risks ESG risks 67/243 Governance and risk methodologies Pillar III tables Municipality Finance Plc Pillar III Disclosure Report 2023 The Sustainable Investment Framework reflects the Group’s low risk appetite and conservative liquidity management strategy which limits the room of exposures to very low risk entities which in general are considered not having material social risk challenges central banks, sovereigns, and credit institutions in OECD countries etc.</w:t>
      </w:r>
    </w:p>
    <w:p w14:paraId="50793A76" w14:textId="77777777" w:rsidR="00B428A2" w:rsidRDefault="00000000">
      <w:r>
        <w:lastRenderedPageBreak/>
        <w:t>Consequently, MuniFin Group deems that it has no reasons to further decrease the social risk impact arising from its liquidity portfolio exposure and has therefore set no short-, medium-, or long-term targets but reckons that the currently used ESG monitoring approach takes MuniFin Group’s objectives into account appropriately.</w:t>
      </w:r>
    </w:p>
    <w:p w14:paraId="55C495E9" w14:textId="77777777" w:rsidR="00B428A2" w:rsidRDefault="00000000">
      <w:r>
        <w:t>Despite of this approach MuniFin Group monitors its liquidity portfolio exposures actively and can react in case of individual social risk challenges.</w:t>
      </w:r>
    </w:p>
    <w:p w14:paraId="71B7EBB3" w14:textId="77777777" w:rsidR="00B428A2" w:rsidRDefault="00000000">
      <w:r>
        <w:t>Finally, the Group’s own actions as a responsible counter­ party, employer and contributor to society are defined in the Board approved strategy and reflected in the Sustainability Policy and Code of Conduct.</w:t>
      </w:r>
    </w:p>
    <w:p w14:paraId="37DA2CFC" w14:textId="77777777" w:rsidR="00B428A2" w:rsidRDefault="00000000">
      <w:r>
        <w:t>The social risk aspect is included but due to explained low risk approach, its role is limited.</w:t>
      </w:r>
    </w:p>
    <w:p w14:paraId="47FC9C3C" w14:textId="77777777" w:rsidR="00B428A2" w:rsidRDefault="00000000">
      <w:r>
        <w:t>MuniFin Group’s expectations and requirements for its counterparties in relation to activities towards the community and society, employee relationships and labour standards, customer protection and product responsibility and human rights are communicated through the Sustainability Policy and Supplier Code of Conduct.</w:t>
      </w:r>
    </w:p>
    <w:p w14:paraId="410277B9" w14:textId="77777777" w:rsidR="00B428A2" w:rsidRDefault="00000000">
      <w:r>
        <w:t>The Group’s current monitoring and reporting processes related to social risk are based on internal actions supported by different type of information tools for information gathering, together with active dialogue with customers and other counterparties.</w:t>
      </w:r>
    </w:p>
    <w:p w14:paraId="16B7CA74" w14:textId="77777777" w:rsidR="00B428A2" w:rsidRDefault="00000000">
      <w:r>
        <w:t>Due to the Group’s limited social risk position, the Group’s current remuneration framework does not specifically include MuniFin Group’s social risk objectives.</w:t>
      </w:r>
    </w:p>
    <w:p w14:paraId="23DE7A3E" w14:textId="77777777" w:rsidR="00B428A2" w:rsidRDefault="00000000">
      <w:r>
        <w:t>However, MuniFin Group’s current variable remuneration framework includes an ESG indicator for the Group’s own ESG scoring and thus takes into account also the social risk aspect of MuniFin Group’s operations, as defined by the external rating model.</w:t>
      </w:r>
    </w:p>
    <w:p w14:paraId="2904558C" w14:textId="77777777" w:rsidR="00B428A2" w:rsidRDefault="00000000">
      <w:r>
        <w:t>Environmental, Social and Governance risks ESG risks 68/243 Governance and risk methodologies Pillar III tables Municipality Finance Plc Pillar III Disclosure Report 2023 9.</w:t>
      </w:r>
    </w:p>
    <w:p w14:paraId="2652981B" w14:textId="77777777" w:rsidR="00B428A2" w:rsidRDefault="00000000">
      <w:r>
        <w:t>MuniFin Group’s own actions and commitments shall give guidance to the Group’s customers and counterparties on its expectations and requirements in regard to social risk management.</w:t>
      </w:r>
    </w:p>
    <w:p w14:paraId="49A1F8C8" w14:textId="77777777" w:rsidR="00B428A2" w:rsidRDefault="00000000">
      <w:r>
        <w:t>Consequently, the Group’s social financing product, disclosure activities and publicly available policies set the tone of the Group’s approach and thus support dialogue with its customers and counterparties on social risk related issues.</w:t>
      </w:r>
    </w:p>
    <w:p w14:paraId="65D1FA9A" w14:textId="77777777" w:rsidR="00B428A2" w:rsidRDefault="00000000">
      <w:r>
        <w:t>MuniFin Group is committed to active management of its relationships with the existing counterparties and even termination of the relationship in case of counterparties’ material non-compliance in the area of social responsibility.</w:t>
      </w:r>
    </w:p>
    <w:p w14:paraId="4387E001" w14:textId="77777777" w:rsidR="00B428A2" w:rsidRDefault="00000000">
      <w:r>
        <w:lastRenderedPageBreak/>
        <w:t>However, MuniFin Group is committed to further develop its social risk management activities in case the existing approach would not be deemed to mitigate the risk in the future.</w:t>
      </w:r>
    </w:p>
    <w:p w14:paraId="4EA95C15" w14:textId="77777777" w:rsidR="00B428A2" w:rsidRDefault="00000000">
      <w:r>
        <w:t>Environmental, Social and Governance risks ESG risks 69/243 Governance and risk methodologies Pillar III tables Municipality Finance Plc Pillar III Disclosure Report 2023 MuniFin Group deems that social risk may be transmitted to credit, liquidity, funding, market, operational or reputational risks and therefore MuniFin Group does not allocate capital to social risk itself but has considered the impact of social risk through the following assessment into the said risk areas, Transmission risk area Transmission method Credit risk A social risk event may cause sanctions or reputational risk to MuniFin Group’s customer or other counterparty and thus decrease its profitability or even lead to a default.</w:t>
      </w:r>
    </w:p>
    <w:p w14:paraId="523E63AD" w14:textId="77777777" w:rsidR="00B428A2" w:rsidRDefault="00000000">
      <w:r>
        <w:t>However, MuniFin Group’s funding is well-diversified and not focusing on singular investors or dealers and therefore social risk impact on funding is considered limited.</w:t>
      </w:r>
    </w:p>
    <w:p w14:paraId="3E82B9B7" w14:textId="77777777" w:rsidR="00B428A2" w:rsidRDefault="00000000">
      <w:r>
        <w:t>Operational risk A social risk event of any MuniFin Group supplier may cause challenges to the service provided by it to the Group and increase operational risks derived from the third-party service.</w:t>
      </w:r>
    </w:p>
    <w:p w14:paraId="381B8177" w14:textId="77777777" w:rsidR="00B428A2" w:rsidRDefault="00000000">
      <w:r>
        <w:t>Environmental, Social and Governance risks ESG risks 70/243 Governance and risk methodologies Pillar III tables Municipality Finance Plc Pillar III Disclosure Report 2023 9.</w:t>
      </w:r>
    </w:p>
    <w:p w14:paraId="12427FDC" w14:textId="77777777" w:rsidR="00B428A2" w:rsidRDefault="00000000">
      <w:r>
        <w:t>Therefore, it should be noted that the main risk mitigation approach for governance risk is already taken in the form of MuniFin Group’s specific business model, which allows as defined by the Act on Municipal Guarantee Board to use the MGB guaranteed funding only for limited clientele consisting of local and regional government entities and affordable social housing production entities and thus considered low risk entities in respect of governance risk.</w:t>
      </w:r>
    </w:p>
    <w:p w14:paraId="1C2FD54B" w14:textId="77777777" w:rsidR="00B428A2" w:rsidRDefault="00000000">
      <w:r>
        <w:t>Availability of such information is still quite limited in relation to small municipalities, wellbeing services counties and affordable social housing sector entities where non-financial information reporting is not compulsory.</w:t>
      </w:r>
    </w:p>
    <w:p w14:paraId="721664D3" w14:textId="77777777" w:rsidR="00B428A2" w:rsidRDefault="00000000">
      <w:r>
        <w:t>The difference in the treatment of derivatives between the IFRS and regulatory frameworks is shown on row 11 and arises from the counterparty credit risk framework and applying CRR SA-CCR method to derivatives.</w:t>
      </w:r>
    </w:p>
    <w:p w14:paraId="6026F6E6" w14:textId="77777777" w:rsidR="00B428A2" w:rsidRDefault="00000000">
      <w:r>
        <w:t>Scope of application 90/243 Municipality Finance Plc Pillar III Disclosure Report 2023 Governance and risk methodologies Pillar III tables MuniFin Group applies a market-based approach when the instrument has a functioning market and public price quotations are available.</w:t>
      </w:r>
    </w:p>
    <w:p w14:paraId="51DAC652" w14:textId="77777777" w:rsidR="00B428A2" w:rsidRDefault="00000000">
      <w:r>
        <w:t>MuniFin Group has implemented a framework for the arrangements, activities and procedures with regards to the Group’s model risk management.</w:t>
      </w:r>
    </w:p>
    <w:p w14:paraId="50F71FCA" w14:textId="77777777" w:rsidR="00B428A2" w:rsidRDefault="00000000">
      <w:r>
        <w:lastRenderedPageBreak/>
        <w:t>Scope of application 91/243 Municipality Finance Plc Pillar III Disclosure Report 2023 Governance and risk methodologies Pillar III tables The Group manages and maintains a model inventory which provides a holistic view of all valuation models, their business purpose and characteristics as well as their applications and conditions for use.</w:t>
      </w:r>
    </w:p>
    <w:p w14:paraId="60BDC381" w14:textId="77777777" w:rsidR="00BF26B8" w:rsidRDefault="00000000">
      <w:r>
        <w:t>Own funds 101/243 Municipality Finance Plc Pillar III Disclosure Report 2023 Governance and risk methodologies Pillar III tables 31 Dec 2023</w:t>
      </w:r>
      <w:r w:rsidR="00BF26B8">
        <w:t>.</w:t>
      </w:r>
    </w:p>
    <w:p w14:paraId="338B66B8" w14:textId="65755153" w:rsidR="00B428A2" w:rsidRDefault="00000000">
      <w:r>
        <w:t>Amounts Source based on reference numbers/letters of the balance sheet under the regulatory scope of consolidation Amounts below the thresholds for deduction before risk weighting 72 Direct and indirect holdings of own funds and eligible liabilities of financial sector entities where the institution does not have a significant investment in those entities amount below 10% threshold and net of eligible short positions 73 Direct and indirect holdings by the institution of the CET1 instruments of financial sector entities where the institution has a significant investment in those entities amount below 17.</w:t>
      </w:r>
    </w:p>
    <w:p w14:paraId="0787A0EC" w14:textId="77777777" w:rsidR="00BF26B8" w:rsidRDefault="00000000">
      <w:r>
        <w:t>Own funds 107/243 Municipality Finance Plc Pillar III Disclosure Report 2023 Governance and risk methodologies Pillar III tables 31 Dec 2022</w:t>
      </w:r>
      <w:r w:rsidR="00BF26B8">
        <w:t>.</w:t>
      </w:r>
    </w:p>
    <w:p w14:paraId="05F06EA0" w14:textId="58BA8B87" w:rsidR="00B428A2" w:rsidRDefault="00000000">
      <w:r>
        <w:t xml:space="preserve"> Amounts Source based on reference numbers/letters of the balance sheet under the regulatory scope of consolidation Amounts below the thresholds for deduction before risk weighting 72 Direct and indirect holdings of own funds and eligible liabilities of financial sector entities where the institution does not have a significant investment in those entities amount below 10% threshold and net of eligible short positions 73 Direct and indirect holdings by the institution of the CET1 instruments of financial sector entities where the institution has a significant investment in those entities amount below 17.</w:t>
      </w:r>
    </w:p>
    <w:p w14:paraId="73D09211" w14:textId="77777777" w:rsidR="00B428A2" w:rsidRDefault="00000000">
      <w:r>
        <w:t xml:space="preserve">Leverage ratio 126/243 Municipality Finance Plc Pillar III Disclosure Report 2023 Governance and risk methodologies Pillar III tables EU LR2 LRCom, Leverage ratio common disclosure </w:t>
      </w:r>
      <w:proofErr w:type="gramStart"/>
      <w:r>
        <w:t>The</w:t>
      </w:r>
      <w:proofErr w:type="gramEnd"/>
      <w:r>
        <w:t xml:space="preserve"> total balance sheet exposures increased by EUR 3,298 million from previous year.</w:t>
      </w:r>
    </w:p>
    <w:p w14:paraId="23807AE2" w14:textId="77777777" w:rsidR="00B428A2" w:rsidRDefault="00000000">
      <w:r>
        <w:t>Use of credit risk mitigation techniques 166/243 Municipality Finance Plc Pillar III Disclosure Report 2023 Governance and risk methodologies Pillar III tables 9.</w:t>
      </w:r>
    </w:p>
    <w:p w14:paraId="12F6E860" w14:textId="77777777" w:rsidR="00B428A2" w:rsidRDefault="00000000">
      <w:r>
        <w:t>Credit risk standardised approach EU CRD Qualitative disclosure requirements related to standardised approach The capital requirement for credit risk is calculated using the standardised approach.</w:t>
      </w:r>
    </w:p>
    <w:p w14:paraId="253D6E2A" w14:textId="77777777" w:rsidR="00B428A2" w:rsidRDefault="00000000">
      <w:r>
        <w:t>Use of standardised approach and internal model for market risk 183/243 Municipality Finance Plc Pillar III Disclosure Report 2023 Governance and risk methodologies Pillar III tables 12.</w:t>
      </w:r>
    </w:p>
    <w:p w14:paraId="40B7F914" w14:textId="77777777" w:rsidR="00B428A2" w:rsidRDefault="00000000">
      <w:r>
        <w:t>Because financed emission calculation requires up to date emission factors and as the Group’s calculation practices are still developing the Group had to manage the timing difference of the emission calculation and the Pillar 3 ESG reporting.</w:t>
      </w:r>
    </w:p>
    <w:p w14:paraId="6CDB5A77" w14:textId="77777777" w:rsidR="00B428A2" w:rsidRDefault="00000000">
      <w:r>
        <w:lastRenderedPageBreak/>
        <w:t>ESG risks 226/243 Municipality Finance Plc Pillar III Disclosure Report 2023 Governance and risk methodologies Pillar III tables Column f, Qualitative information on the nature of the mitigating actions Bonds rows 1-7 MuniFin Group’s sustainable investments are executed according to the Group’s Sustainable Investment Framework.</w:t>
      </w:r>
    </w:p>
    <w:p w14:paraId="362A7E25" w14:textId="77777777" w:rsidR="00B428A2" w:rsidRDefault="00000000">
      <w:r>
        <w:t>Asset categories financed include renewable energy, energy efficiency, green buildings, pollution prevention and control, clean transportation, sustainable management of living natural resources etc.</w:t>
      </w:r>
    </w:p>
    <w:p w14:paraId="17360F1C" w14:textId="77777777" w:rsidR="00B428A2" w:rsidRDefault="00000000">
      <w:r>
        <w:t>Loans rows 8-14 MuniFin Group’s green finance is granted according to MuniFin Green Bond Framework.</w:t>
      </w:r>
    </w:p>
    <w:p w14:paraId="0FEE6B75" w14:textId="77777777" w:rsidR="00B428A2" w:rsidRDefault="00000000">
      <w:r>
        <w:t>MuniFin Group has granted green finance using portfolio approach since 2016 with the latest framework dated in August 2022.</w:t>
      </w:r>
    </w:p>
    <w:p w14:paraId="489D2984" w14:textId="77777777" w:rsidR="00B428A2" w:rsidRDefault="00000000">
      <w:r>
        <w:t>The projects are classified in four categories, buildings, transportation, renewable energy, and water and wastewater management.</w:t>
      </w:r>
    </w:p>
    <w:p w14:paraId="504E87C4" w14:textId="77777777" w:rsidR="00B428A2" w:rsidRDefault="00000000">
      <w:r>
        <w:t>ESG risks 227/243 Municipality Finance Plc Pillar III Disclosure Report 2023 Governance and risk methodologies Pillar III tables specific eligibility criteria may include non-compulsory criteria to be considered and promoted in order to make environmentally-friendly investments more attractive to the Group’s customers and facilitate the implementation of the EU Taxonomy.</w:t>
      </w:r>
    </w:p>
    <w:p w14:paraId="6FBB49BC" w14:textId="5779520B" w:rsidR="00B428A2" w:rsidRDefault="00000000">
      <w:r>
        <w:t>Green finance is granted to the Group’s customers.</w:t>
      </w:r>
    </w:p>
    <w:p w14:paraId="7F08A1D6" w14:textId="77777777" w:rsidR="00B428A2" w:rsidRDefault="00000000">
      <w:r>
        <w:t>Finnish municipalities’, joint municipal authorities’, municipality owned companies’ and affordable social housing companies’ projects that promote the transition to low carbon and climate resilient growth.</w:t>
      </w:r>
    </w:p>
    <w:p w14:paraId="09358834" w14:textId="77777777" w:rsidR="00B428A2" w:rsidRDefault="00000000">
      <w:r>
        <w:t>For example, focus on energy efficiency of the buildings and the renewable methods for energy production and transportation lead into lower transition risk in comparison to more carbon intensive alternatives.</w:t>
      </w:r>
    </w:p>
    <w:p w14:paraId="65B6F74C" w14:textId="77777777" w:rsidR="00B428A2" w:rsidRDefault="00000000">
      <w:r>
        <w:t>High level summary Reference Article 435 Disclosure of risk management objectives and policies 1, Strategies and processes to manage risks.</w:t>
      </w:r>
    </w:p>
    <w:p w14:paraId="373A1898" w14:textId="77777777" w:rsidR="00B428A2" w:rsidRDefault="00000000">
      <w:r>
        <w:t>Pillar III Disclosure Report 2023 Part 2, chapter 11, template EU MR1 Article 446 Disclosure of operational risk management, The approaches for the assessment of own funds requirements for operation risk that the institution qualifies for.</w:t>
      </w:r>
    </w:p>
    <w:p w14:paraId="4ACE4DF8" w14:textId="77777777" w:rsidR="00B428A2" w:rsidRDefault="00000000">
      <w:r>
        <w:t>High level summary Reference Article 449 Disclosure of exposures to securitisation positions Exposure to securitisation positions Not applicable Article 449a Disclosure of environmental, social and governance risks ESG risks Information on ESG risks, including physical risks and transition risks Pillar III Disclosure Report 2023 Part 1, chapter 9 Part 2, chapter 16 Article 450 Disclosure of remuneration policy 1, Information concerning the decision-making process of remuneration committee.</w:t>
      </w:r>
    </w:p>
    <w:p w14:paraId="6791F942" w14:textId="77777777" w:rsidR="00B428A2" w:rsidRDefault="00000000">
      <w:r>
        <w:lastRenderedPageBreak/>
        <w:t>Pillar III Disclosure Report 2023 Part 1, chapter 8 1, The most important design characteristics of the remuneration system, including information on the criteria used for performance measurement and risk adjustment, deferral policy and vesting criteria.</w:t>
      </w:r>
    </w:p>
    <w:p w14:paraId="661454D5" w14:textId="27D70E33" w:rsidR="00B428A2" w:rsidRDefault="00000000">
      <w:r>
        <w:t>Pillar III Disclosure Report 2023 Part 2, chapter 5, table EU LRA 2 Public development credit institutions as defined in Article 429a, shall disclose the leverage ratio without the adjustment to the total exposure measure determined in accordance with point, of the first subparagraph of Article 429a</w:t>
      </w:r>
      <w:r w:rsidR="0020089F">
        <w:t>.</w:t>
      </w:r>
    </w:p>
    <w:p w14:paraId="350752E2" w14:textId="77777777" w:rsidR="00B428A2" w:rsidRDefault="00000000">
      <w:r>
        <w:t>Risk management objectives and policies, subsection MuniFin Group’s overall risk profile associated with the business strategy and business model.</w:t>
      </w:r>
    </w:p>
    <w:p w14:paraId="75038A54" w14:textId="77777777" w:rsidR="00B428A2" w:rsidRDefault="00000000">
      <w:r>
        <w:t>Risk management objectives and policies, subsection MuniFin Group’s overall risk profile associated with the business strategy and business model.</w:t>
      </w:r>
    </w:p>
    <w:sectPr w:rsidR="00B428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50462835">
    <w:abstractNumId w:val="8"/>
  </w:num>
  <w:num w:numId="2" w16cid:durableId="1096290075">
    <w:abstractNumId w:val="6"/>
  </w:num>
  <w:num w:numId="3" w16cid:durableId="782188062">
    <w:abstractNumId w:val="5"/>
  </w:num>
  <w:num w:numId="4" w16cid:durableId="1762067046">
    <w:abstractNumId w:val="4"/>
  </w:num>
  <w:num w:numId="5" w16cid:durableId="1129394457">
    <w:abstractNumId w:val="7"/>
  </w:num>
  <w:num w:numId="6" w16cid:durableId="1047724333">
    <w:abstractNumId w:val="3"/>
  </w:num>
  <w:num w:numId="7" w16cid:durableId="1085343075">
    <w:abstractNumId w:val="2"/>
  </w:num>
  <w:num w:numId="8" w16cid:durableId="767891083">
    <w:abstractNumId w:val="1"/>
  </w:num>
  <w:num w:numId="9" w16cid:durableId="258755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89F"/>
    <w:rsid w:val="0029639D"/>
    <w:rsid w:val="00326F90"/>
    <w:rsid w:val="005E7043"/>
    <w:rsid w:val="00AA1D8D"/>
    <w:rsid w:val="00B428A2"/>
    <w:rsid w:val="00B47730"/>
    <w:rsid w:val="00BF26B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794C7"/>
  <w14:defaultImageDpi w14:val="300"/>
  <w15:docId w15:val="{09875724-9D0E-9A4D-9EA8-55F97D78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6939</Words>
  <Characters>39553</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3</cp:revision>
  <dcterms:created xsi:type="dcterms:W3CDTF">2013-12-23T23:15:00Z</dcterms:created>
  <dcterms:modified xsi:type="dcterms:W3CDTF">2025-07-30T17:44:00Z</dcterms:modified>
  <cp:category/>
</cp:coreProperties>
</file>