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58BF" w14:textId="77777777" w:rsidR="0049699A" w:rsidRDefault="00000000">
      <w:r>
        <w:t>MuniFin grants financing for environmentally and socially responsible investments such as public transportation, hospitals and healthcare centers, schools and day care centers, and homes for people with special needs.</w:t>
      </w:r>
    </w:p>
    <w:p w14:paraId="1F43829D" w14:textId="77777777" w:rsidR="0049699A" w:rsidRDefault="00000000">
      <w:r>
        <w:t>MuniFin’s Financial Control and Regulatory Reporting unit is responsible for the process of publishing financial information including Pillar III disclosures.</w:t>
      </w:r>
    </w:p>
    <w:p w14:paraId="7BF671BC" w14:textId="77777777" w:rsidR="0049699A" w:rsidRDefault="00000000">
      <w:r>
        <w:t>The Risk Management and Compliance division and the Legal and Communications division take also part in the disclosure process.</w:t>
      </w:r>
    </w:p>
    <w:p w14:paraId="38763C0C" w14:textId="77777777" w:rsidR="0049699A" w:rsidRDefault="00000000">
      <w:r>
        <w:t>The Framework aims to ensure that business and risk strategy, risk appetite, risk governance, risk culture, people and processes are aligned and effectively supporting risk management goals.</w:t>
      </w:r>
    </w:p>
    <w:p w14:paraId="2AEA70DA" w14:textId="77777777" w:rsidR="0049699A" w:rsidRDefault="00000000">
      <w:r>
        <w:t>The following principles are followed across the Group, The Risk and Governance Framework is supported by comprehensive set of risk policies and underlying guidelines and instructions.</w:t>
      </w:r>
    </w:p>
    <w:p w14:paraId="10516BE3" w14:textId="17ED6B22" w:rsidR="0049699A" w:rsidRDefault="00000000">
      <w:r>
        <w:t>Risk and Governance Framework of MuniFin Group 12/254 Governance and risk methodologies Pillar III tables Municipality Finance Plc Pillar III Disclosure Report 2024</w:t>
      </w:r>
      <w:r w:rsidR="009172EE">
        <w:t>.</w:t>
      </w:r>
    </w:p>
    <w:p w14:paraId="1EA4AB06" w14:textId="77777777" w:rsidR="0049699A" w:rsidRDefault="00000000">
      <w:r>
        <w:t>The internal control framework is supported by controls of different processes.</w:t>
      </w:r>
    </w:p>
    <w:p w14:paraId="2E41CA91" w14:textId="77777777" w:rsidR="0049699A" w:rsidRDefault="00000000">
      <w:r>
        <w:t>For the implementation of internal control framework, the Group applies the three lines of defence model, with an adequate segregation of duties and clear roles and responsibilities between different parties.</w:t>
      </w:r>
    </w:p>
    <w:p w14:paraId="2D04D7CC" w14:textId="77777777" w:rsidR="0049699A" w:rsidRDefault="00000000">
      <w:r>
        <w:t>The first line of defence operates business activities within the set limits and in accordance with the internal control framework.</w:t>
      </w:r>
    </w:p>
    <w:p w14:paraId="2DD76CA6" w14:textId="77777777" w:rsidR="0049699A" w:rsidRDefault="00000000">
      <w:r>
        <w:t>This includes that the division controls and ensures that risks remain within permissible limits and that the Group’s risk management framework is in line with the risk strategy and risk appetite and provides recommendations for revisions where necessary.</w:t>
      </w:r>
    </w:p>
    <w:p w14:paraId="3C6FF758" w14:textId="77777777" w:rsidR="0049699A" w:rsidRDefault="00000000">
      <w:r>
        <w:t>In other words, the second line defence also assists and monitors the implementation of the risk management practices by the first line of defence.</w:t>
      </w:r>
    </w:p>
    <w:p w14:paraId="2E70B90C" w14:textId="77777777" w:rsidR="0049699A" w:rsidRDefault="00000000">
      <w:r>
        <w:t>Furthermore, the Board monitors the Group’s overall risk appetite and strategy, taking into account all types of risks as described in respective policies to ensure that they are in line with the business strategy, objectives, corporate and risk culture and values of the Group.</w:t>
      </w:r>
    </w:p>
    <w:p w14:paraId="3577BF2D" w14:textId="77777777" w:rsidR="0049699A" w:rsidRDefault="00000000">
      <w:r>
        <w:t>The Risk Committee advises and supports the Board regarding the monitoring of the Group’s actual and future risk strategy and risk appetite, taking into account all types of risks as described in respective risk policies to ensure that they are in line with the business strategy, objectives, corporate and risk culture and values of the Group.</w:t>
      </w:r>
    </w:p>
    <w:p w14:paraId="4DEDF591" w14:textId="77777777" w:rsidR="0049699A" w:rsidRDefault="00000000">
      <w:r>
        <w:t xml:space="preserve">Risk management objectives and policies 14/254 Governance and risk methodologies Pillar III tables Municipality Finance Plc Pillar III Disclosure Report 2024 The Remuneration </w:t>
      </w:r>
      <w:r>
        <w:lastRenderedPageBreak/>
        <w:t>Committee is responsible for including the risk appetite as a key component in the performance objectives, remuneration and incentive structures of the staff.</w:t>
      </w:r>
    </w:p>
    <w:p w14:paraId="3CF29BCF" w14:textId="77777777" w:rsidR="0049699A" w:rsidRDefault="00000000">
      <w:r>
        <w:t>In addition, the remuneration framework shall be such that a significant breach of the set risk appetite limits may have consequences for the involved individuals’ appraisal and remuneration.</w:t>
      </w:r>
    </w:p>
    <w:p w14:paraId="42502FC3" w14:textId="77777777" w:rsidR="0049699A" w:rsidRDefault="00000000">
      <w:r>
        <w:t>The CRO represents the second line of defence and is responsible for the overall coordination of risk management including the monitoring of risk limits and reporting different types of risks.</w:t>
      </w:r>
    </w:p>
    <w:p w14:paraId="19452455" w14:textId="77777777" w:rsidR="0049699A" w:rsidRDefault="00000000">
      <w:r>
        <w:t>In addition to the direct reporting line to the CEO, the CRO reports directly to the Board’s Risk Committee on MuniFin Group’s overall risk position at each meeting.</w:t>
      </w:r>
    </w:p>
    <w:p w14:paraId="0C8F9837" w14:textId="77777777" w:rsidR="0049699A" w:rsidRDefault="00000000">
      <w:r>
        <w:t>All these bodies support the EMT with matters concerning MuniFin Group’s risk position and risk profile approved by the Board.</w:t>
      </w:r>
    </w:p>
    <w:p w14:paraId="7BCF2675" w14:textId="2EED0D99" w:rsidR="0049699A" w:rsidRDefault="00000000">
      <w:r>
        <w:t>Risk management objectives and policies 16/254 Governance and risk methodologies Pillar III tables Municipality Finance Plc Pillar III Disclosure Report 2024</w:t>
      </w:r>
      <w:r w:rsidR="00745298">
        <w:t>.</w:t>
      </w:r>
    </w:p>
    <w:p w14:paraId="55034459" w14:textId="77777777" w:rsidR="0049699A" w:rsidRDefault="00000000">
      <w:r>
        <w:t>MuniFin Group’s overall risk profile is described in the Risk Appetite Framework approved by the Board and updated at least annually.</w:t>
      </w:r>
    </w:p>
    <w:p w14:paraId="7961EF1B" w14:textId="77777777" w:rsidR="0049699A" w:rsidRDefault="00000000">
      <w:r>
        <w:t>The RAF is linked to the Group’s business model, both short-term and long-term strategic goals, the Capital Plan, the Liquidity and Funding Plan, the Recovery Plan and the Remuneration Policy.</w:t>
      </w:r>
    </w:p>
    <w:p w14:paraId="3D1EEAC6" w14:textId="77777777" w:rsidR="0049699A" w:rsidRDefault="00000000">
      <w:r>
        <w:t>At least annually, the risk limits and thresholds are reviewed and recalibrated in order to align the RAF with MuniFin Group’s strategy, external and macroeconomic developments and ICAAP/ILAAP outcomes.</w:t>
      </w:r>
    </w:p>
    <w:p w14:paraId="66219375" w14:textId="77777777" w:rsidR="0049699A" w:rsidRDefault="00000000">
      <w:r>
        <w:t>The available historical data, regulatory requirements and external benchmarks as well as other publicly available information are used to establish, evaluate and calibrate the thresholds.</w:t>
      </w:r>
    </w:p>
    <w:p w14:paraId="3122CE11" w14:textId="77777777" w:rsidR="0049699A" w:rsidRDefault="00000000">
      <w:r>
        <w:t>Risk management objectives and policies 17/254 Governance and risk methodologies Pillar III tables Municipality Finance Plc Pillar III Disclosure Report 2024 A “traffic light approach” is used to set the thresholds and to report the risk levels for each of the risk indicators.</w:t>
      </w:r>
    </w:p>
    <w:p w14:paraId="1F481E7F" w14:textId="77777777" w:rsidR="0049699A" w:rsidRDefault="00000000">
      <w:r>
        <w:t>MuniFin Group’s risk management and internal control practices and processes are developed continuously.</w:t>
      </w:r>
    </w:p>
    <w:p w14:paraId="2CC6AA15" w14:textId="77777777" w:rsidR="0049699A" w:rsidRDefault="00000000">
      <w:r>
        <w:t>As part of enhancing the effectiveness of the internal control framework, the descriptions of the Group’s all main processes, including the control points within them, were updated during the year.</w:t>
      </w:r>
    </w:p>
    <w:p w14:paraId="5C77A717" w14:textId="77777777" w:rsidR="0049699A" w:rsidRDefault="00000000">
      <w:r>
        <w:t>In addition, the Group developed and documented an ICT risk management framework as part of preparing for the implementation of the DORA regulation.</w:t>
      </w:r>
    </w:p>
    <w:p w14:paraId="755217C9" w14:textId="77777777" w:rsidR="0049699A" w:rsidRDefault="00000000">
      <w:r>
        <w:lastRenderedPageBreak/>
        <w:t>Risk management objectives and policies 19/254 Governance and risk methodologies Pillar III tables Municipality Finance Plc Pillar III Disclosure Report 2024 The ECB Guide on climate-related and environmental risks state that institutions are expected to explicitly include climate-related and environmental risks C&amp;E risks in their risk appetite framework.</w:t>
      </w:r>
    </w:p>
    <w:p w14:paraId="69677294" w14:textId="77777777" w:rsidR="0049699A" w:rsidRDefault="00000000">
      <w:r>
        <w:t>Risk management identifies the appropriate strategy to address material risks.</w:t>
      </w:r>
    </w:p>
    <w:p w14:paraId="40A37BA5" w14:textId="77777777" w:rsidR="0049699A" w:rsidRDefault="00000000">
      <w:r>
        <w:t>Risk management objectives and policies 20/254 Governance and risk methodologies Pillar III tables Municipality Finance Plc Pillar III Disclosure Report 2024 Risk monitoring is used to track identified risks and identify new or emerging risks.</w:t>
      </w:r>
    </w:p>
    <w:p w14:paraId="5ACB47A6" w14:textId="77777777" w:rsidR="0049699A" w:rsidRDefault="00000000">
      <w:r>
        <w:t>In the case of a breach being identified within the first line of defence, the breach is reported to the Risk Management and then escalated according to relevant governance processes, e.</w:t>
      </w:r>
    </w:p>
    <w:p w14:paraId="43889BEC" w14:textId="77777777" w:rsidR="0049699A" w:rsidRDefault="00000000">
      <w:r>
        <w:t>A breach of risk appetite limits must follow RAF escalation processes.</w:t>
      </w:r>
    </w:p>
    <w:p w14:paraId="6AD286CC" w14:textId="77777777" w:rsidR="0049699A" w:rsidRDefault="00000000">
      <w:r>
        <w:t>The key second line of defence reporting include a weekly Risk Management Dashboard report, monthly Risk Appetite Dashboard, which is based on the RAF, and quarterly Risk Report.</w:t>
      </w:r>
    </w:p>
    <w:p w14:paraId="298A26B0" w14:textId="77777777" w:rsidR="0049699A" w:rsidRDefault="00000000">
      <w:r>
        <w:t>The main purpose of the regular calibration is to ensure the alignment of the risk appetite, limits with MuniFin Group’s strategy and also external and macro-economic developments.</w:t>
      </w:r>
    </w:p>
    <w:p w14:paraId="33FAFB0A" w14:textId="77777777" w:rsidR="0049699A" w:rsidRDefault="00000000">
      <w:r>
        <w:t>The Group’s Stress testing program focuses on principles of governance, stress testing scope and coverage, scenario development, stress testing programme model, methodologies and the application of stress testing programs.</w:t>
      </w:r>
    </w:p>
    <w:p w14:paraId="3E7D84F3" w14:textId="77777777" w:rsidR="0049699A" w:rsidRDefault="00000000">
      <w:r>
        <w:t>During 2024, the Group made significant progress in developing its climate stress testing framework.</w:t>
      </w:r>
    </w:p>
    <w:p w14:paraId="706241B4" w14:textId="77777777" w:rsidR="0049699A" w:rsidRDefault="00000000">
      <w:r>
        <w:t>The framework was designed to assess MuniFin Group’s vulnerabilities to climate and environmental risks, aligning with the ECB’s supervisory expectations.</w:t>
      </w:r>
    </w:p>
    <w:p w14:paraId="047F9805" w14:textId="77777777" w:rsidR="0049699A" w:rsidRDefault="00000000">
      <w:r>
        <w:t>Conducted by the European Banking Authority , the exercise aimed to assess the resilience of the financial sector in line with the Fit-for-55 package and to gain insights into the capacity of the financial system to support the transition to a lower carbon economy under conditions of stress.</w:t>
      </w:r>
    </w:p>
    <w:p w14:paraId="2DF7B46F" w14:textId="77777777" w:rsidR="0049699A" w:rsidRDefault="00000000">
      <w:r>
        <w:t>Capital is managed to maintain financial strength, absorb losses to withstand adverse economic conditions, allow for growth opportunities and meet other risk management, regulatory and business objectives.</w:t>
      </w:r>
    </w:p>
    <w:p w14:paraId="12D1DE25" w14:textId="77777777" w:rsidR="0049699A" w:rsidRDefault="00000000">
      <w:r>
        <w:t>Controlling capital adequacy is a continuous and an essential part of MuniFin Group’s strategic planning process, which covers setting strategic goals, specifying development projects and making financial forecasts for the following years.</w:t>
      </w:r>
    </w:p>
    <w:p w14:paraId="1843E06D" w14:textId="77777777" w:rsidR="0049699A" w:rsidRDefault="00000000">
      <w:r>
        <w:t>MuniFin Group’s Credit risk policy and credit risk management practices rely significantly on this principle.</w:t>
      </w:r>
    </w:p>
    <w:p w14:paraId="7F0564CD" w14:textId="77777777" w:rsidR="0049699A" w:rsidRDefault="00000000">
      <w:r>
        <w:lastRenderedPageBreak/>
        <w:t>The EMT has established three decision-making bodies that have been given tasks in terms of credit risk management.</w:t>
      </w:r>
    </w:p>
    <w:p w14:paraId="0CF8F6F3" w14:textId="77777777" w:rsidR="0049699A" w:rsidRDefault="00000000">
      <w:r>
        <w:t>Finnish municipalities can also establish joint municipal authorities to provide services that they are legally required to provide for their citizens or undertake regional development activities.</w:t>
      </w:r>
    </w:p>
    <w:p w14:paraId="46268019" w14:textId="77777777" w:rsidR="0049699A" w:rsidRDefault="00000000">
      <w:r>
        <w:t>MuniFin Group was specifically 3.</w:t>
      </w:r>
    </w:p>
    <w:p w14:paraId="4E0D2549" w14:textId="77777777" w:rsidR="0049699A" w:rsidRDefault="00000000">
      <w:r>
        <w:t>Credit and counterparty credit risk 29/254 Governance and risk methodologies Pillar III tables Municipality Finance Plc Pillar III Disclosure Report 2024 established to finance the municipal sector and affordable social housing production, and its operations are limited by the Act on Municipality Guarantee Board.</w:t>
      </w:r>
    </w:p>
    <w:p w14:paraId="695C3211" w14:textId="77777777" w:rsidR="0049699A" w:rsidRDefault="00000000">
      <w:r>
        <w:t>The Risk Management and Compliance division is responsible for producing regular risk reporting on the Group’s risk positions including indicators set in the RAF.</w:t>
      </w:r>
    </w:p>
    <w:p w14:paraId="10F99A22" w14:textId="77777777" w:rsidR="0049699A" w:rsidRDefault="00000000">
      <w:r>
        <w:t>At least on an annual basis, the risk limits and thresholds are reviewed and recalibrated in order to align the RAF with the Group’s strategy and external and macro-economic developments.</w:t>
      </w:r>
    </w:p>
    <w:p w14:paraId="529AC9AA" w14:textId="77777777" w:rsidR="0049699A" w:rsidRDefault="00000000">
      <w:r>
        <w:t>Market risk management utilises the existing governance structure and processes involving all organisational levels of the MuniFin Group.</w:t>
      </w:r>
    </w:p>
    <w:p w14:paraId="17376B42" w14:textId="77777777" w:rsidR="0049699A" w:rsidRDefault="00000000">
      <w:r>
        <w:t>In addition, the Funding and Sustainability unit, as another first line risk owner, is responsible for executing funding transactions so that both suitability and hedging possibilities of new funding is always assessed according to the set principles before entering into a transaction.</w:t>
      </w:r>
    </w:p>
    <w:p w14:paraId="441A770D" w14:textId="77777777" w:rsidR="0049699A" w:rsidRDefault="00000000">
      <w:r>
        <w:t>The Risk Management function identifies, measures, manages, monitors and reports risks independently from the business functions.</w:t>
      </w:r>
    </w:p>
    <w:p w14:paraId="465610C7" w14:textId="77777777" w:rsidR="0049699A" w:rsidRDefault="00000000">
      <w:r>
        <w:t>The independent Compliance function’s task is to ensure that MuniFin Group complies with internal and external regulations related to market risk.</w:t>
      </w:r>
    </w:p>
    <w:p w14:paraId="6ECE8113" w14:textId="77777777" w:rsidR="0049699A" w:rsidRDefault="00000000">
      <w:r>
        <w:t>The Risk MT’s task is to ensure that the Group’s risks remain within risk appetite and at a level sufficient to maintain the Group’s business continuity, strong credit rating and compliance with relevant regulatory requirements.</w:t>
      </w:r>
    </w:p>
    <w:p w14:paraId="033AAD7E" w14:textId="77777777" w:rsidR="0049699A" w:rsidRDefault="00000000">
      <w:r>
        <w:t>The hedging relationships within hedge accounting are documented and they comply with the Group’s risk management objectives and strategy.</w:t>
      </w:r>
    </w:p>
    <w:p w14:paraId="7D1E6A59" w14:textId="77777777" w:rsidR="0049699A" w:rsidRDefault="00000000">
      <w:r>
        <w:t>Treasury supports the Capital Markets MT in relation to IRRBB risk management activities and is responsible for managing interest rate risk at an operational level in accordance with the risk appetite and the decisions made by the Capital Markets MT.</w:t>
      </w:r>
    </w:p>
    <w:p w14:paraId="12E2E5A7" w14:textId="77777777" w:rsidR="0049699A" w:rsidRDefault="00000000">
      <w:r>
        <w:t xml:space="preserve">Market risk 36/254 Governance and risk methodologies Pillar III tables Municipality Finance Plc Pillar III Disclosure Report 2024 Interest rate sensitivity Interest rate sensitivity </w:t>
      </w:r>
      <w:r>
        <w:lastRenderedPageBreak/>
        <w:t>or Economic Value of Equity measures how much the present value of assets and liabilities will fluctuate due to changes in the interest rate environment.</w:t>
      </w:r>
    </w:p>
    <w:p w14:paraId="2590F1BD" w14:textId="77777777" w:rsidR="0049699A" w:rsidRDefault="00000000">
      <w:r>
        <w:t>Furthermore, the Risk Management and Compliance function is responsible for reporting and monitoring basis risk.</w:t>
      </w:r>
    </w:p>
    <w:p w14:paraId="4496B0BC" w14:textId="77777777" w:rsidR="0049699A" w:rsidRDefault="00000000">
      <w:r>
        <w:t>Performance against the limits and thresholds are monitored on a regular basis and reported to the EMT, the Risk MT, the Capital Markets MT monthly and to the Risk Committee at each meeting and ultimately to each meeting of the Board.</w:t>
      </w:r>
    </w:p>
    <w:p w14:paraId="6406E44D" w14:textId="77777777" w:rsidR="0049699A" w:rsidRDefault="00000000">
      <w:r>
        <w:t>Market risk 40/254 Governance and risk methodologies Pillar III tables Municipality Finance Plc Pillar III Disclosure Report 2024 Liquidity and funding risk is the risk that MuniFin Group is unable to meet its financial obligations as they become due, resulting in an inability to support normal business activities, or a failure to meet regulatory liquidity requirements or rating agency expectations.</w:t>
      </w:r>
    </w:p>
    <w:p w14:paraId="77714D2A" w14:textId="77777777" w:rsidR="0049699A" w:rsidRDefault="00000000">
      <w:r>
        <w:t>The objective of MuniFin Group’s liquidity and funding risk management is to maintain an adequate liquidity buffer and a sustainable funding position and profile, even in stress periods.</w:t>
      </w:r>
    </w:p>
    <w:p w14:paraId="50AA3360" w14:textId="77777777" w:rsidR="0049699A" w:rsidRDefault="00000000">
      <w:r>
        <w:t>The Risk Management function identifies, measures, manages, monitors and reports liquidity risk independently from the business units.</w:t>
      </w:r>
    </w:p>
    <w:p w14:paraId="2C81D21A" w14:textId="77777777" w:rsidR="0049699A" w:rsidRDefault="00000000">
      <w:r>
        <w:t>It ensures that risks remain within the set limits and that the Risk Management Framework is in line with MuniFin Group’s risk strategy and appetite and provides recommendations for updates and revisions where necessary.</w:t>
      </w:r>
    </w:p>
    <w:p w14:paraId="0B65FC53" w14:textId="77777777" w:rsidR="0049699A" w:rsidRDefault="00000000">
      <w:r>
        <w:t>Furthermore, the Board confirms the risk limits and risk appetite based on the Group’s strategy and business plan and approves the Liquidity and Funding Plan for maintaining liquidity adequacy proportionate to the risk appetite.</w:t>
      </w:r>
    </w:p>
    <w:p w14:paraId="628DBD90" w14:textId="77777777" w:rsidR="0049699A" w:rsidRDefault="00000000">
      <w:r>
        <w:t>The Capital Markets MT is responsible for the first line liquidity and funding risk management related to monitoring and decisions of quality and quantity of liquidity and funding.</w:t>
      </w:r>
    </w:p>
    <w:p w14:paraId="72AE2D1A" w14:textId="77777777" w:rsidR="0049699A" w:rsidRDefault="00000000">
      <w:r>
        <w:t>At least on a yearly basis, the risk indicators, limits and threshold values are reviewed and calibrated in order to align the RAF with the Group’s strategy and external and macro-economic developments.</w:t>
      </w:r>
    </w:p>
    <w:p w14:paraId="1F053EF3" w14:textId="77777777" w:rsidR="0049699A" w:rsidRDefault="00000000">
      <w:r>
        <w:t>The FTP framework supports the overall risk management of MuniFin Group in relation to liquidity and interest rate risk and supports sustainable profitability.</w:t>
      </w:r>
    </w:p>
    <w:p w14:paraId="274CB789" w14:textId="77777777" w:rsidR="0049699A" w:rsidRDefault="00000000">
      <w:r>
        <w:t>Liquidity risk 44/254 Governance and risk methodologies Pillar III tables Municipality Finance Plc Pillar III Disclosure Report 2024 MuniFin Group’s funding is guaranteed by the Municipal Guarantee Board , which has the same credit ratings from Moody’s and Standard &amp; Poor’s as MuniFin and the State of Finland.</w:t>
      </w:r>
    </w:p>
    <w:p w14:paraId="4529D2A5" w14:textId="77777777" w:rsidR="0049699A" w:rsidRDefault="00000000">
      <w:r>
        <w:lastRenderedPageBreak/>
        <w:t>The Risk Management monitors, on a daily basis, the development of the RAF liquidity risk indicators.</w:t>
      </w:r>
    </w:p>
    <w:p w14:paraId="7082CF8B" w14:textId="77777777" w:rsidR="0049699A" w:rsidRDefault="00000000">
      <w:r>
        <w:t>The ILAAP is an integral part of MuniFin Group’s risk management framework that includes other strategic processes such as RAF, ICAAP, Recovery Plan and remuneration framework.</w:t>
      </w:r>
    </w:p>
    <w:p w14:paraId="6560EBE6" w14:textId="77777777" w:rsidR="0049699A" w:rsidRDefault="00000000">
      <w:r>
        <w:t>The EMT also assures that the liquidity risk management systems put in place are adequate with regard to the Group’s profile and strategy.</w:t>
      </w:r>
    </w:p>
    <w:p w14:paraId="5246BFAE" w14:textId="77777777" w:rsidR="0049699A" w:rsidRDefault="00000000">
      <w:r>
        <w:t>Liquidity risk 47/254 Governance and risk methodologies Pillar III tables Municipality Finance Plc Pillar III Disclosure Report 2024 Operational risk means the risk of loss resulting from inadequate or failed internal processes, people and systems or from external events including legal, conduct and compliance risks.</w:t>
      </w:r>
    </w:p>
    <w:p w14:paraId="7F3449FA" w14:textId="77777777" w:rsidR="0049699A" w:rsidRDefault="00000000">
      <w:r>
        <w:t>In addition, the function monitors and reports the adequacy and effectiveness of the operational risk framework on a regular basis to the Board.</w:t>
      </w:r>
    </w:p>
    <w:p w14:paraId="1406FEDF" w14:textId="77777777" w:rsidR="0049699A" w:rsidRDefault="00000000">
      <w:r>
        <w:t>The same function is responsible for developing and maintaining the framework for managing compliance risk.</w:t>
      </w:r>
    </w:p>
    <w:p w14:paraId="6B6C7F02" w14:textId="77777777" w:rsidR="0049699A" w:rsidRDefault="00000000">
      <w:r>
        <w:t>It also supports the first line of defence in their implementation of the compliance risk framework.</w:t>
      </w:r>
    </w:p>
    <w:p w14:paraId="3C51734D" w14:textId="77777777" w:rsidR="0049699A" w:rsidRDefault="00000000">
      <w:r>
        <w:t>In addition, to ensure the independence of the Compliance function, the Head of Compliance may report directly to the Board’s Audit Committee and to the CEO.</w:t>
      </w:r>
    </w:p>
    <w:p w14:paraId="1BC12951" w14:textId="77777777" w:rsidR="0049699A" w:rsidRDefault="00000000">
      <w:r>
        <w:t>MuniFin Group’s Compliance function continuously monitors the development in legislation and regulations issued by authorities relevant to the Group’s operations and ensures that any regulatory changes are appropriately responded to.</w:t>
      </w:r>
    </w:p>
    <w:p w14:paraId="5C5AC1D2" w14:textId="77777777" w:rsidR="0049699A" w:rsidRDefault="00000000">
      <w:r>
        <w:t>The Group mitigates this risk by maintaining active contacts with the authorities and interest groups as well as through the organisation of the Group’s internal Compliance function incl.</w:t>
      </w:r>
    </w:p>
    <w:p w14:paraId="20CA7460" w14:textId="77777777" w:rsidR="0049699A" w:rsidRDefault="00000000">
      <w:r>
        <w:t>MuniFin Group has significant information system and business process related projects aimed at improving the quality, efficiency and regulatory compliance of current operations.</w:t>
      </w:r>
    </w:p>
    <w:p w14:paraId="11DF4D9C" w14:textId="77777777" w:rsidR="0049699A" w:rsidRDefault="00000000">
      <w:r>
        <w:t>Remuneration policy 51/254 Governance and risk methodologies Pillar III tables Municipality Finance Plc Pillar III Disclosure Report 2024 More quantitative information on the remuneration is presented in other parts of this Report.</w:t>
      </w:r>
    </w:p>
    <w:p w14:paraId="2C041D71" w14:textId="77777777" w:rsidR="0049699A" w:rsidRDefault="00000000">
      <w:r>
        <w:t>Are all non-executive members by the Company and are not covered by the Company’s Remuneration Policy.</w:t>
      </w:r>
    </w:p>
    <w:p w14:paraId="34EA3378" w14:textId="711EB0B8" w:rsidR="0049699A" w:rsidRDefault="00000000">
      <w:r>
        <w:t>One remuneration framework applies to the executive management and the entire staff, unless otherwise decided due to the nature of employment</w:t>
      </w:r>
      <w:r w:rsidR="00971A24">
        <w:t>.</w:t>
      </w:r>
    </w:p>
    <w:p w14:paraId="17C55E02" w14:textId="77777777" w:rsidR="0049699A" w:rsidRDefault="00000000">
      <w:r>
        <w:lastRenderedPageBreak/>
        <w:t>The Board is entitled to decide on any changes or termination of the remuneration framework at any time.</w:t>
      </w:r>
    </w:p>
    <w:p w14:paraId="09B43D49" w14:textId="77777777" w:rsidR="0049699A" w:rsidRDefault="00000000">
      <w:r>
        <w:t>The Board also monitors the remuneration of the material risk takers including the remuneration of the internal control functions such as compliance.</w:t>
      </w:r>
    </w:p>
    <w:p w14:paraId="629FC2BA" w14:textId="77777777" w:rsidR="0049699A" w:rsidRDefault="00000000">
      <w:r>
        <w:t>Remuneration policy 52/254 Governance and risk methodologies Pillar III tables Municipality Finance Plc Pillar III Disclosure Report 2024 At the end of 2024, the members of the Remuneration Committee were Kari Laukkanen Chair, Leena Vainiomäki and Maaria Eriksson.</w:t>
      </w:r>
    </w:p>
    <w:p w14:paraId="25FE5607" w14:textId="77777777" w:rsidR="0049699A" w:rsidRDefault="00000000">
      <w:r>
        <w:t>Other stakeholders The Risk Committee monitors the setting of targets and variable remuneration to ensure compliance with the Company’s risk appetite.</w:t>
      </w:r>
    </w:p>
    <w:p w14:paraId="29371912" w14:textId="77777777" w:rsidR="0049699A" w:rsidRDefault="00000000">
      <w:r>
        <w:t>The CRO and the Head of Compliance and Operational Risk Unit also provide the Board and its Committees with statements on whether the targets and remuneration are consistent with the Company’s risk appetite and regulations.</w:t>
      </w:r>
    </w:p>
    <w:p w14:paraId="41C988CD" w14:textId="77777777" w:rsidR="0049699A" w:rsidRDefault="00000000">
      <w:r>
        <w:t>The Audit Committee’s role is to assist the Board in duties related to internal controls, financial reporting and internal and external auditing which are all relevant also for remuneration related processes.</w:t>
      </w:r>
    </w:p>
    <w:p w14:paraId="6B920254" w14:textId="77777777" w:rsidR="0049699A" w:rsidRDefault="00000000">
      <w:r>
        <w:t>In addition, the Internal Audit regularly assesses the Remuneration Policy and the related documentation and the processes to the extent required by the legislation.</w:t>
      </w:r>
    </w:p>
    <w:p w14:paraId="5B7032E5" w14:textId="77777777" w:rsidR="0049699A" w:rsidRDefault="00000000">
      <w:r>
        <w:t>From 2024 onwards, the employees of Internal Audit are not included in the variable remuneration framework.</w:t>
      </w:r>
    </w:p>
    <w:p w14:paraId="7A5D680F" w14:textId="77777777" w:rsidR="0049699A" w:rsidRDefault="00000000">
      <w:r>
        <w:t>A fixed total salary forms the major portion of the total annual remuneration paid to the executive management and to other employees.</w:t>
      </w:r>
    </w:p>
    <w:p w14:paraId="6C6E04BA" w14:textId="77777777" w:rsidR="0049699A" w:rsidRDefault="00000000">
      <w:r>
        <w:t>In accordance with MuniFin Group’s strategy approved by the Board, MuniFin follows the development of salaries and remuneration in the finance sector and the operating environment.</w:t>
      </w:r>
    </w:p>
    <w:p w14:paraId="53B84862" w14:textId="77777777" w:rsidR="0049699A" w:rsidRDefault="00000000">
      <w:r>
        <w:t>The purpose of using external support is to ensure that the remuneration framework is consistent with the market practise.</w:t>
      </w:r>
    </w:p>
    <w:p w14:paraId="5FBDB855" w14:textId="77777777" w:rsidR="0049699A" w:rsidRDefault="00000000">
      <w:r>
        <w:t>Remuneration policy 53/254 Governance and risk methodologies Pillar III tables Municipality Finance Plc Pillar III Disclosure Report 2024 Variable remuneration MuniFin Group’s business model and strategy are the key drivers of its financial success.</w:t>
      </w:r>
    </w:p>
    <w:p w14:paraId="0C5581D4" w14:textId="77777777" w:rsidR="0049699A" w:rsidRDefault="00000000">
      <w:r>
        <w:t>Variable remuneration is always based on performance supporting the Group’s business model, strategy and annual planning.</w:t>
      </w:r>
    </w:p>
    <w:p w14:paraId="4762598A" w14:textId="77777777" w:rsidR="0049699A" w:rsidRDefault="00000000">
      <w:r>
        <w:t xml:space="preserve">The purpose of the variable remuneration is to promote achievement of challenging targets, to ensure availability and retention of skilled employees and to ensure and promote sound and effective management of remuneration process and practices considering MuniFin </w:t>
      </w:r>
      <w:r>
        <w:lastRenderedPageBreak/>
        <w:t>Group’s business model, risk profile including all risk types, corporate values, and the size of the organisation.</w:t>
      </w:r>
    </w:p>
    <w:p w14:paraId="2311CD77" w14:textId="77777777" w:rsidR="0049699A" w:rsidRDefault="00000000">
      <w:r>
        <w:t>Within the remuneration framework, all targets have a maximum level, a target level and a minimum level and the remuneration amount is paid based on achieving those levels.</w:t>
      </w:r>
    </w:p>
    <w:p w14:paraId="7D0408E5" w14:textId="77777777" w:rsidR="0049699A" w:rsidRDefault="00000000">
      <w:r>
        <w:t>In accordance with the Remuneration Policy, a maximum of the variable pay cannot exceed 100% of the fixed pay.</w:t>
      </w:r>
    </w:p>
    <w:p w14:paraId="1ED64203" w14:textId="77777777" w:rsidR="0049699A" w:rsidRDefault="00000000">
      <w:r>
        <w:t>The targets and the weights of the targets related to the variable remuneration framework are set for each calendar year earnings year.</w:t>
      </w:r>
    </w:p>
    <w:p w14:paraId="1CAF3A7E" w14:textId="77777777" w:rsidR="0049699A" w:rsidRDefault="00000000">
      <w:r>
        <w:t>Across all pay grades, the variable remuneration is based on both company level and individual performance targets.</w:t>
      </w:r>
    </w:p>
    <w:p w14:paraId="0963BF9B" w14:textId="77777777" w:rsidR="0049699A" w:rsidRDefault="00000000">
      <w:r>
        <w:t>The targets are set to support the company’s strategy, operational targets and efficient risk management.</w:t>
      </w:r>
    </w:p>
    <w:p w14:paraId="52BA49E4" w14:textId="77777777" w:rsidR="0049699A" w:rsidRDefault="00000000">
      <w:r>
        <w:t>The targets may not encourage employees to take risks that exceed the confirmed risk appetite.</w:t>
      </w:r>
    </w:p>
    <w:p w14:paraId="4FB18C97" w14:textId="77777777" w:rsidR="0049699A" w:rsidRDefault="00000000">
      <w:r>
        <w:t>The weight of company and individual level targets varies between the remuneration categories.</w:t>
      </w:r>
    </w:p>
    <w:p w14:paraId="696B51BF" w14:textId="77777777" w:rsidR="0049699A" w:rsidRDefault="00000000">
      <w:r>
        <w:t>The CEO and the members of the EMT have company level targets, in addition to which they have their individual performance targets, relating to each member’s respective area of responsibility, set by the Board.</w:t>
      </w:r>
    </w:p>
    <w:p w14:paraId="552C04DF" w14:textId="77777777" w:rsidR="0049699A" w:rsidRDefault="00000000">
      <w:r>
        <w:t>Excellent individual performance in individual targets may be rewarded with special remuneration and poor individual performance may decrease the outcome of the company level performance targets.</w:t>
      </w:r>
    </w:p>
    <w:p w14:paraId="14C3BBDA" w14:textId="77777777" w:rsidR="0049699A" w:rsidRDefault="00000000">
      <w:r>
        <w:t>In accordance with the Remuneration Policy, the set performance targets may be adjusted by the same body having approved the original target in case of substantial extraordinary events during the performance year.</w:t>
      </w:r>
    </w:p>
    <w:p w14:paraId="340A4FB2" w14:textId="77777777" w:rsidR="0049699A" w:rsidRDefault="00000000">
      <w:r>
        <w:t>Variable remuneration based on company level targets is paid annually, after the Board has approved the financial statements for the earnings year.</w:t>
      </w:r>
    </w:p>
    <w:p w14:paraId="0AA02DAB" w14:textId="77777777" w:rsidR="0049699A" w:rsidRDefault="00000000">
      <w:r>
        <w:t>Remuneration policy 54/254 Governance and risk methodologies Pillar III tables Municipality Finance Plc Pillar III Disclosure Report 2024 evidence that a person has gained variable remuneration unlawfully.</w:t>
      </w:r>
    </w:p>
    <w:p w14:paraId="3E04AFF8" w14:textId="77777777" w:rsidR="0049699A" w:rsidRDefault="00000000">
      <w:r>
        <w:t>Special remuneration based on excellent performance in individual targets may be paid during the year at the end of each assessment period.</w:t>
      </w:r>
    </w:p>
    <w:p w14:paraId="54DF956F" w14:textId="77777777" w:rsidR="0049699A" w:rsidRDefault="00000000">
      <w:r>
        <w:lastRenderedPageBreak/>
        <w:t>For those who the deferral rules apply to, half of the variable remuneration is tied to the development of MuniFin’s Common Equity Tier 1, CET1 a class of instrument used in remuneration in compliance with the regulations.</w:t>
      </w:r>
    </w:p>
    <w:p w14:paraId="2074A316" w14:textId="77777777" w:rsidR="0049699A" w:rsidRDefault="00000000">
      <w:r>
        <w:t>The Board of is always entitled to make the final decision on changing or terminating the remuneration framework, or not paying variable remuneration.</w:t>
      </w:r>
    </w:p>
    <w:p w14:paraId="35A13BB7" w14:textId="77777777" w:rsidR="0049699A" w:rsidRDefault="00000000">
      <w:r>
        <w:t>The positions at the Company meeting the criteria are identified in the Remuneration Policy and are as follows, the CEO and all other members of the EMT.</w:t>
      </w:r>
    </w:p>
    <w:p w14:paraId="057CA237" w14:textId="77777777" w:rsidR="0049699A" w:rsidRDefault="00000000">
      <w:r>
        <w:t>The company level targets of 2023, affecting the variable remuneration of all employees, focused on the Company’s operating profit, and customer satisfaction as well as the company’s external ESG risk rating by Sustainalytics.</w:t>
      </w:r>
    </w:p>
    <w:p w14:paraId="1967DD71" w14:textId="77777777" w:rsidR="0049699A" w:rsidRDefault="00000000">
      <w:r>
        <w:t>In 2024, the maximum remuneration was not paid to any individuals out of all individuals covered by the Remuneration Policy.</w:t>
      </w:r>
    </w:p>
    <w:p w14:paraId="40A6FA23" w14:textId="77777777" w:rsidR="0049699A" w:rsidRDefault="00000000">
      <w:r>
        <w:t>The changes to the Remuneration Policy were technical in nature.</w:t>
      </w:r>
    </w:p>
    <w:p w14:paraId="60D6F27F" w14:textId="77777777" w:rsidR="0049699A" w:rsidRDefault="00000000">
      <w:r>
        <w:t>Furthermore, Financial Advisory Services Inspira Ltd was removed from the Remunaration Policy, as the company has no longer any employees due to the decision made in 2024 to no longer offer advisory services.</w:t>
      </w:r>
    </w:p>
    <w:p w14:paraId="3121CD8D" w14:textId="77777777" w:rsidR="0049699A" w:rsidRDefault="00000000">
      <w:r>
        <w:t>MuniFin Group finances both socially responsible and environmentally sustainable projects, such as schools, day-care centres, public transportation, hospitals and affordable social housing.</w:t>
      </w:r>
    </w:p>
    <w:p w14:paraId="78D764C6" w14:textId="77777777" w:rsidR="0049699A" w:rsidRDefault="00000000">
      <w:r>
        <w:t>MuniFin Group views customer engagement as an essential part of its sustainability commitments and risk management strategy.</w:t>
      </w:r>
    </w:p>
    <w:p w14:paraId="7A41F5DD" w14:textId="77777777" w:rsidR="0049699A" w:rsidRDefault="00000000">
      <w:r>
        <w:t>These assessments guide MuniFin Group’s sustainability efforts and ESG risk management.</w:t>
      </w:r>
    </w:p>
    <w:p w14:paraId="4F821BBE" w14:textId="77777777" w:rsidR="0049699A" w:rsidRDefault="00000000">
      <w:r>
        <w:t>MuniFin Group’s strategy highlights sustainability, which is at the heart of the Group’s operations.</w:t>
      </w:r>
    </w:p>
    <w:p w14:paraId="4D6F169F" w14:textId="77777777" w:rsidR="0049699A" w:rsidRDefault="00000000">
      <w:r>
        <w:t>MuniFin Group’s sustainability agenda, entitled ‘Enabler of Sustainable Welfare in Society,’ focuses especially on the Group’s business operations and the impact achieved through them.</w:t>
      </w:r>
    </w:p>
    <w:p w14:paraId="39C3C05B" w14:textId="77777777" w:rsidR="0049699A" w:rsidRDefault="00000000">
      <w:r>
        <w:t>It crystallises MuniFin Group’s role and long-term sustainability goals.</w:t>
      </w:r>
    </w:p>
    <w:p w14:paraId="25B740CC" w14:textId="77777777" w:rsidR="0049699A" w:rsidRDefault="00000000">
      <w:r>
        <w:t>MuniFin Group’s goal is to support the development of a sustainable welfare society and promote investments that are friendly to the climate and environment.</w:t>
      </w:r>
    </w:p>
    <w:p w14:paraId="023D8E81" w14:textId="77777777" w:rsidR="0049699A" w:rsidRDefault="00000000">
      <w:r>
        <w:t>The amount of sustainable finance provides a clear and measurable gauge of MuniFin Group’s impact, as all projects must meet pre-determined criteria within respected frameworks that assess their promotion of sustainability.</w:t>
      </w:r>
    </w:p>
    <w:p w14:paraId="0E90ADC7" w14:textId="77777777" w:rsidR="0049699A" w:rsidRDefault="00000000">
      <w:r>
        <w:lastRenderedPageBreak/>
        <w:t>The share of sustainable finance also offers an overview of the Group’s business operations’ sustainability, which is crucial for risk management.</w:t>
      </w:r>
    </w:p>
    <w:p w14:paraId="5F6766A3" w14:textId="77777777" w:rsidR="0049699A" w:rsidRDefault="00000000">
      <w:r>
        <w:t>Environmental factors in business strategy and processes MuniFin Group’s target for 2030 is that 25% of its long-term customer financing is green finance.</w:t>
      </w:r>
    </w:p>
    <w:p w14:paraId="1CD966AA" w14:textId="77777777" w:rsidR="0049699A" w:rsidRDefault="00000000">
      <w:r>
        <w:t>MuniFin Group offers green finance to selected projects that promote the transition to low-carbon and climate-resilient growth.</w:t>
      </w:r>
    </w:p>
    <w:p w14:paraId="5B444D5D" w14:textId="77777777" w:rsidR="0049699A" w:rsidRDefault="00000000">
      <w:r>
        <w:t>The strategic target to increase the amount of green finance enables the Group to increase the share of climate resilient projects in its loan portfolio.</w:t>
      </w:r>
    </w:p>
    <w:p w14:paraId="6658DF2B" w14:textId="77777777" w:rsidR="0049699A" w:rsidRDefault="00000000">
      <w:r>
        <w:t>MuniFin Group’s Green Bond Framework, determines what kind of projects can be financed by green finance.</w:t>
      </w:r>
    </w:p>
    <w:p w14:paraId="7A767485" w14:textId="77777777" w:rsidR="0049699A" w:rsidRDefault="00000000">
      <w:r>
        <w:t>The eligibility criteria of the Green Bond Framework consider the publication date EU Taxonomy Regulation and the EU Taxonomy Climate Delegated Act with the intention to apply them on a best effort basis, where there are feasible practical applications and support by local regulation.</w:t>
      </w:r>
    </w:p>
    <w:p w14:paraId="2D6114D8" w14:textId="77777777" w:rsidR="0049699A" w:rsidRDefault="00000000">
      <w:r>
        <w:t>The result is that in addition to mandatory requirements, the project category specific criteria may include non-compulsory criteria to be considered and promoted to make environmentally friendly investments more attractive to MuniFin Group’s customers and facilitate the implementation of the EU Taxonomy.</w:t>
      </w:r>
    </w:p>
    <w:p w14:paraId="006965FC" w14:textId="77777777" w:rsidR="0049699A" w:rsidRDefault="00000000">
      <w:r>
        <w:t>Environmental, Social and Governance risks ESG risks 59/254 Governance and risk methodologies Pillar III tables Municipality Finance Plc Pillar III Disclosure Report 2024 Social factors in business strategy and processes MuniFin Group launched its specific social finance product in 2020, which is used to investments that produce widespread social benefits.</w:t>
      </w:r>
    </w:p>
    <w:p w14:paraId="667A1AE8" w14:textId="77777777" w:rsidR="0049699A" w:rsidRDefault="00000000">
      <w:r>
        <w:t>Project selection is based on the Group’s Social Bond Framework.</w:t>
      </w:r>
    </w:p>
    <w:p w14:paraId="7567367B" w14:textId="77777777" w:rsidR="0049699A" w:rsidRDefault="00000000">
      <w:r>
        <w:t>The Group has not set any additional short-term or medium-term targets for its social finance product but monitors the progress of the long-term target yearly as part of the strategy.</w:t>
      </w:r>
    </w:p>
    <w:p w14:paraId="13A2131C" w14:textId="77777777" w:rsidR="0049699A" w:rsidRDefault="00000000">
      <w:r>
        <w:t>MuniFin Group sees that targeted finance to promote socially responsible projects limits social risks its customers and consequently the Group is exposed to.</w:t>
      </w:r>
    </w:p>
    <w:p w14:paraId="4BC3C767" w14:textId="77777777" w:rsidR="0049699A" w:rsidRDefault="00000000">
      <w:r>
        <w:t>Furthermore, affordable social housing production organisations are non-profit entities whose operations are monitored by the Housing Finance and Development Centre of Finland Ara and therefore similar general approach in relation to those is justified.</w:t>
      </w:r>
    </w:p>
    <w:p w14:paraId="30C59708" w14:textId="77777777" w:rsidR="0049699A" w:rsidRDefault="00000000">
      <w:r>
        <w:t>Finally, the Group’s own actions as a responsible counterparty, employer and contributor to society are defined in the Board approved strategy and reflected in the Sustainability Policy and Code of Conduct.</w:t>
      </w:r>
    </w:p>
    <w:p w14:paraId="273FD4DD" w14:textId="77777777" w:rsidR="0049699A" w:rsidRDefault="00000000">
      <w:r>
        <w:lastRenderedPageBreak/>
        <w:t>This responsibility also includes acting in accordance with the sustainability approach approved by the Board as part of the Group’s strategy.</w:t>
      </w:r>
    </w:p>
    <w:p w14:paraId="56D5FCA6" w14:textId="77777777" w:rsidR="0049699A" w:rsidRDefault="00000000">
      <w:r>
        <w:t>The EMT also approves the Group’s Green Bond Framework, Social Bond Framework and Sustainable Investment Framework.</w:t>
      </w:r>
    </w:p>
    <w:p w14:paraId="6A4A4864" w14:textId="77777777" w:rsidR="0049699A" w:rsidRDefault="00000000">
      <w:r>
        <w:t>The EMT is tasked with monitoring and guiding the development of the Group’s sustainability-related measures at the Group level and ensuring that sustainability is considered in accordance with the strategy in all areas of operations in a way that is appropriate for each case considering the materiality principle.</w:t>
      </w:r>
    </w:p>
    <w:p w14:paraId="3EC8073C" w14:textId="77777777" w:rsidR="0049699A" w:rsidRDefault="00000000">
      <w:r>
        <w:t>This individual is responsible for sustainability and the development of MuniFin Group’s sustainability initiatives at the Group level.</w:t>
      </w:r>
    </w:p>
    <w:p w14:paraId="1ACA59A6" w14:textId="77777777" w:rsidR="0049699A" w:rsidRDefault="00000000">
      <w:r>
        <w:t>The sustainability virtual team is tasked with ensuring that sustainability is considered across the Group and that sustainability-related projects are progressing in accordance with the Sustainability Agenda and the Group’s strategy.</w:t>
      </w:r>
    </w:p>
    <w:p w14:paraId="5FDDE867" w14:textId="77777777" w:rsidR="0049699A" w:rsidRDefault="00000000">
      <w:r>
        <w:t>Environmental, Social and Governance risks ESG risks 61/254 Governance and risk methodologies Pillar III tables Municipality Finance Plc Pillar III Disclosure Report 2024 Roles and responsibilities in divisions and functions MuniFin Group has assessed that its existing organisation structure is serving well the identified environmental risks and therefore the Group has not reorganised its business lines and internal control functions due to these risks.</w:t>
      </w:r>
    </w:p>
    <w:p w14:paraId="5F29B2F9" w14:textId="77777777" w:rsidR="0049699A" w:rsidRDefault="00000000">
      <w:r>
        <w:t>As explained in the Risk Management section, most of MuniFin Group’s identified environmental risks pertain to long-term effects.</w:t>
      </w:r>
    </w:p>
    <w:p w14:paraId="5DC3E873" w14:textId="77777777" w:rsidR="0049699A" w:rsidRDefault="00000000">
      <w:r>
        <w:t>MuniFin Group’s business and support functions in the first line of defence have specific staff dedicated to ensuring that sustainability aspects are integrated into daily business operations and that external reporting, including disclosure requirements, is properly managed.</w:t>
      </w:r>
    </w:p>
    <w:p w14:paraId="3FB9767E" w14:textId="77777777" w:rsidR="0049699A" w:rsidRDefault="00000000">
      <w:r>
        <w:t>In addition, dedicated persons within the Customer Solutions divisions are responsible for the Group’s sustainable financing products, including green and social financing.</w:t>
      </w:r>
    </w:p>
    <w:p w14:paraId="49039D22" w14:textId="77777777" w:rsidR="0049699A" w:rsidRDefault="00000000">
      <w:r>
        <w:t>Given the Group’s low exposure to social risks, no dedicated internal resources are currently allocated for their assessment.</w:t>
      </w:r>
    </w:p>
    <w:p w14:paraId="2AB007A1" w14:textId="77777777" w:rsidR="0049699A" w:rsidRDefault="00000000">
      <w:r>
        <w:t>MuniFin Group’s variable remuneration framework includes a sustainability factor and thus indirectly considers the environmental and social risk aspect.</w:t>
      </w:r>
    </w:p>
    <w:p w14:paraId="3E218301" w14:textId="77777777" w:rsidR="0049699A" w:rsidRDefault="00000000">
      <w:r>
        <w:t>Environmental, Social and Governance risks ESG risks 62/254 Governance and risk methodologies Pillar III tables Municipality Finance Plc Pillar III Disclosure Report 2024 9.</w:t>
      </w:r>
    </w:p>
    <w:p w14:paraId="26AB9D33" w14:textId="77777777" w:rsidR="0049699A" w:rsidRDefault="00000000">
      <w:r>
        <w:t>MuniFin Group has engaged both its internal and external stakeholders to ensure their perspectives are considered in the process.</w:t>
      </w:r>
    </w:p>
    <w:p w14:paraId="20BA6D38" w14:textId="77777777" w:rsidR="0049699A" w:rsidRDefault="00000000">
      <w:r>
        <w:lastRenderedPageBreak/>
        <w:t>Despite the relatively stable nature of its business environment, MuniFin Group recognises the uncertain nature and emerging risks of climate change, social and governance landscapes, and considers evolving risks in its assessment over the short, medium, and long-term.</w:t>
      </w:r>
    </w:p>
    <w:p w14:paraId="2AFCBFF5" w14:textId="77777777" w:rsidR="0049699A" w:rsidRDefault="00000000">
      <w:r>
        <w:t>The assessment identified no material environmental or social risks that would significantly impact on MuniFin Group’s financial position.</w:t>
      </w:r>
    </w:p>
    <w:p w14:paraId="3D5CDFD6" w14:textId="77777777" w:rsidR="0049699A" w:rsidRDefault="00000000">
      <w:r>
        <w:t>Additionally, the DMA identified material governance risks related to compliance with regulatory requirements and standards.</w:t>
      </w:r>
    </w:p>
    <w:p w14:paraId="2F03F9AC" w14:textId="77777777" w:rsidR="0049699A" w:rsidRDefault="00000000">
      <w:r>
        <w:t>These risks are managed with operational and compliance risk management practices.</w:t>
      </w:r>
    </w:p>
    <w:p w14:paraId="468E08A9" w14:textId="77777777" w:rsidR="0049699A" w:rsidRDefault="00000000">
      <w:r>
        <w:t>The risk management framework of C&amp;E risks follows the ECB Guide on climate-related and environmental risks.</w:t>
      </w:r>
    </w:p>
    <w:p w14:paraId="51EF18AE" w14:textId="77777777" w:rsidR="0049699A" w:rsidRDefault="00000000">
      <w:r>
        <w:t>Additionally, MuniFin Group’s overall Risk and Governance Framework contains risk management policies and principles for all identified risk areas, including C&amp;E risks.</w:t>
      </w:r>
    </w:p>
    <w:p w14:paraId="5C92AA85" w14:textId="77777777" w:rsidR="0049699A" w:rsidRDefault="00000000">
      <w:r>
        <w:t>Environmental, Social and Governance risks ESG risks 63/254 Governance and risk methodologies Pillar III tables Municipality Finance Plc Pillar III Disclosure Report 2024 Risk Transmission channel Potential climate risk events Credit Risk Lower real estate value Increased energy consumption and renovation requirements to improve energy efficiency can increase the costs for property owners, which can negatively impact the financial stability of the owner and eventually the value of the property.</w:t>
      </w:r>
    </w:p>
    <w:p w14:paraId="01A48BF5" w14:textId="77777777" w:rsidR="0049699A" w:rsidRDefault="00000000">
      <w:r>
        <w:t>Lower profitability Increase in carbon price can lead to higher operational costs for energy or raw materials.</w:t>
      </w:r>
    </w:p>
    <w:p w14:paraId="2099EF1A" w14:textId="00086851" w:rsidR="0049699A" w:rsidRDefault="00000000">
      <w:r>
        <w:t>Increased cost of compliance Additional expenses to monitor and meet new regulatory requirements</w:t>
      </w:r>
      <w:r w:rsidR="0030502D">
        <w:t>.</w:t>
      </w:r>
    </w:p>
    <w:p w14:paraId="4C767BA8" w14:textId="77777777" w:rsidR="0049699A" w:rsidRDefault="00000000">
      <w:r>
        <w:t>Energy efficiency may affect the operational costs and credit risk of customers or counterparties.</w:t>
      </w:r>
    </w:p>
    <w:p w14:paraId="7872BEBF" w14:textId="77777777" w:rsidR="0049699A" w:rsidRDefault="00000000">
      <w:r>
        <w:t>Increased legal cost and cost of compliance Additional expenses due to climate-related legal and regulatory compliance costs can increase MuniFin Group’s operational costs and lead to decreased liquidity.</w:t>
      </w:r>
    </w:p>
    <w:p w14:paraId="650C9E65" w14:textId="77777777" w:rsidR="0049699A" w:rsidRDefault="00000000">
      <w:r>
        <w:t>Operational risk Increased legal cost and cost of compliance C&amp;E risk events in MuniFin Group’s own actions or in MuniFin Group’s customers, counterparties or suppliers may lead to increased operational costs through legal costs or sanctions.</w:t>
      </w:r>
    </w:p>
    <w:p w14:paraId="30257005" w14:textId="77777777" w:rsidR="0049699A" w:rsidRDefault="00000000">
      <w:r>
        <w:t xml:space="preserve">Overview of MuniFin Group’s climate stress testing framework 64/254 Governance and risk methodologies Pillar III tables Municipality Finance Plc Pillar III Disclosure Report 2024 MuniFin Group continuously monitors its exposures on C&amp;E risks in its risk reporting and </w:t>
      </w:r>
      <w:r>
        <w:lastRenderedPageBreak/>
        <w:t>the RAF using several risk reports that track C&amp;E risk factors among its customers and liquidity portfolio.</w:t>
      </w:r>
    </w:p>
    <w:p w14:paraId="274735CD" w14:textId="77777777" w:rsidR="0049699A" w:rsidRDefault="00000000">
      <w:r>
        <w:t>Additionally, the RAF reflects MuniFin Group’s conservative approach to all material risks and sets limits for C&amp;E risk indicators including green finance, collateral’s energy efficiency, liquidity portfolio’s ESG rating, municipalities’ E score and MuniFin Group’s ESG risk rating.</w:t>
      </w:r>
    </w:p>
    <w:p w14:paraId="71E7C5F9" w14:textId="77777777" w:rsidR="0049699A" w:rsidRDefault="00000000">
      <w:r>
        <w:t>Especially transition risks arise for entities that are unprepared for the transition towards climate change mitigation and therefore, it is crucial to track metrics that reflect their current ESG performance and capability to address future challenges.</w:t>
      </w:r>
    </w:p>
    <w:p w14:paraId="63A2CCC1" w14:textId="77777777" w:rsidR="0049699A" w:rsidRDefault="00000000">
      <w:r>
        <w:t>The CRO also heads the Risk Management and Compliance division equipped with RAF specific tasks, such as monitoring of risk limits and thresholds.</w:t>
      </w:r>
    </w:p>
    <w:p w14:paraId="7795E625" w14:textId="77777777" w:rsidR="0049699A" w:rsidRDefault="00000000">
      <w:r>
        <w:t>In 2024, MuniFin Group developed a climate stress testing framework to evaluate MuniFin Group’s economic vulnerabilities to shocks from climate-related and environmental events.</w:t>
      </w:r>
    </w:p>
    <w:p w14:paraId="4CAB1812" w14:textId="77777777" w:rsidR="0049699A" w:rsidRDefault="00000000">
      <w:r>
        <w:t>This framework considered various transmission channels and climate scenarios, covering both physical and transition risks.</w:t>
      </w:r>
    </w:p>
    <w:p w14:paraId="5AC74354" w14:textId="2CBD0394" w:rsidR="0049699A" w:rsidRDefault="00000000">
      <w:r>
        <w:t>Environmental, Social and Governance risks ESG risks 65/254 Governance and risk methodologies Pillar III tables Municipality Finance Plc Pillar III Disclosure Report 2024</w:t>
      </w:r>
      <w:r w:rsidR="00075B7C">
        <w:t>.</w:t>
      </w:r>
    </w:p>
    <w:p w14:paraId="296ED0B9" w14:textId="77777777" w:rsidR="0049699A" w:rsidRDefault="00000000">
      <w:r>
        <w:t>By ensuring that these metrics remain within target levels, MuniFin Group can proactively manage potential risks and maintain alignment with its sustainability goals.</w:t>
      </w:r>
    </w:p>
    <w:p w14:paraId="1B4A0F91" w14:textId="77777777" w:rsidR="0049699A" w:rsidRDefault="00000000">
      <w:r>
        <w:t>MuniFin Group’s customers are exposed to both physical and transition risks, primarily floods and costs related to the transition, such as an increase in carbon price.</w:t>
      </w:r>
    </w:p>
    <w:p w14:paraId="0343F6A9" w14:textId="77777777" w:rsidR="0049699A" w:rsidRDefault="00000000">
      <w:r>
        <w:t>ESG factors have also been integrated into the customer lending process, as required by the Group’s Sustainability Policy and EBA Guidelines on loan origination and monitoring EBA/GL/2020/06.</w:t>
      </w:r>
    </w:p>
    <w:p w14:paraId="615A61B9" w14:textId="77777777" w:rsidR="0049699A" w:rsidRDefault="00000000">
      <w:r>
        <w:t>MuniFin Group is committed to offering relevant information to its customers by hosting webinars and providing an ESG tool to help municipalities evaluate their performance against United Nation’s Sustainable Development Goals.</w:t>
      </w:r>
    </w:p>
    <w:p w14:paraId="6363D61E" w14:textId="77777777" w:rsidR="0049699A" w:rsidRDefault="00000000">
      <w:r>
        <w:t>MuniFin Group also offers green finance for projects that meet the criteria outlined in MuniFin Group’s Green Bond Framework.</w:t>
      </w:r>
    </w:p>
    <w:p w14:paraId="081A1A90" w14:textId="77777777" w:rsidR="0049699A" w:rsidRDefault="00000000">
      <w:r>
        <w:t>Therefore, MuniFin Group’s strategic target to increase the proportion of green finance mitigates the transition risks from its customer portfolio.</w:t>
      </w:r>
    </w:p>
    <w:p w14:paraId="6C79BBBC" w14:textId="77777777" w:rsidR="0049699A" w:rsidRDefault="00000000">
      <w:r>
        <w:t>Environmental, Social and Governance risks ESG risks Furthermore, MuniFin Group engages with its suppliers to ensure ESG risks are effectively monitored and mitigated.</w:t>
      </w:r>
    </w:p>
    <w:p w14:paraId="152408B2" w14:textId="77777777" w:rsidR="0049699A" w:rsidRDefault="00000000">
      <w:r>
        <w:lastRenderedPageBreak/>
        <w:t>Investments are made in accordance with MuniFin Group’s Sustainable Investment Framework, which incorporates ESG factors and defines sustainability criteria for both new and existing investments.</w:t>
      </w:r>
    </w:p>
    <w:p w14:paraId="226E4FA2" w14:textId="77777777" w:rsidR="0049699A" w:rsidRDefault="00000000">
      <w:r>
        <w:t>This score evaluates both the risk exposure of current and projected natural hazards as well as climate-change-related transition risks, and risk management capabilities of the country where the issuer is located.</w:t>
      </w:r>
    </w:p>
    <w:p w14:paraId="7CF1D1D0" w14:textId="77777777" w:rsidR="0049699A" w:rsidRDefault="00000000">
      <w:r>
        <w:t>This ongoing improvement ensures that the data collected is increasingly accurate and relevant for effective risk management and sustainability efforts.</w:t>
      </w:r>
    </w:p>
    <w:p w14:paraId="640B2234" w14:textId="77777777" w:rsidR="0049699A" w:rsidRDefault="00000000">
      <w:r>
        <w:t>Over the past years, MuniFin Group has made significant efforts to improve the availability, quality and accuracy of its ESG and climate-related data.</w:t>
      </w:r>
    </w:p>
    <w:p w14:paraId="1A2C18A8" w14:textId="77777777" w:rsidR="0049699A" w:rsidRDefault="00000000">
      <w:r>
        <w:t>The Group’s current monitoring and reporting processes related to social risk are based on internal actions supported by different type of information tools for information gathering, together with active dialogue with customers and other counterparties.</w:t>
      </w:r>
    </w:p>
    <w:p w14:paraId="28BAB0DC" w14:textId="77777777" w:rsidR="0049699A" w:rsidRDefault="00000000">
      <w:r>
        <w:t>However, MuniFin Group has not yet established specific methods, definitions, and standards for the management of social factors.</w:t>
      </w:r>
    </w:p>
    <w:p w14:paraId="1D1FBADF" w14:textId="77777777" w:rsidR="0049699A" w:rsidRDefault="00000000">
      <w:r>
        <w:t>The proactive approach helps MuniFin Group to maintain high standards of social responsibility and effectively manage any potential social risk events.</w:t>
      </w:r>
    </w:p>
    <w:p w14:paraId="6550B368" w14:textId="77777777" w:rsidR="0049699A" w:rsidRDefault="00000000">
      <w:r>
        <w:t>Monitoring social risks of its stakeholders MuniFin Group’s customer finance and approach to social and administrative risks is governed by the law on public procurement, which applies to the majority of MuniFin Group’s customers.</w:t>
      </w:r>
    </w:p>
    <w:p w14:paraId="63FF9809" w14:textId="77777777" w:rsidR="0049699A" w:rsidRDefault="00000000">
      <w:r>
        <w:t>Environmental, Social and Governance risks ESG risks 69/254 Governance and risk methodologies Pillar III tables Municipality Finance Plc Pillar III Disclosure Report 2024 MuniFin Group has internal and external assessment processes to identify and mitigate social risks in its liquidity portfolio.</w:t>
      </w:r>
    </w:p>
    <w:p w14:paraId="5F7889C1" w14:textId="77777777" w:rsidR="0049699A" w:rsidRDefault="00000000">
      <w:r>
        <w:t>This includes evaluating the social responsibility practices of counterparties.</w:t>
      </w:r>
    </w:p>
    <w:p w14:paraId="2E498DF3" w14:textId="77777777" w:rsidR="0049699A" w:rsidRDefault="00000000">
      <w:r>
        <w:t>MuniFin Group’s investment criteria are defined in the Sustainable Investment Framework, which incorporates ESG factors and defines sustainability criteria for both new and existing investments.</w:t>
      </w:r>
    </w:p>
    <w:p w14:paraId="56D77F23" w14:textId="77777777" w:rsidR="0049699A" w:rsidRDefault="00000000">
      <w:r>
        <w:t>Market Risk Lower asset value Social risk events, such as corruption or unethical practices of a bond issuer, could decrease the value of bonds or derivatives.</w:t>
      </w:r>
    </w:p>
    <w:p w14:paraId="24355615" w14:textId="77777777" w:rsidR="0049699A" w:rsidRDefault="00000000">
      <w:r>
        <w:t>Liquidity risk Decreased liquidity of assets Social risk events, such as corruption or unethical practices, may affect MuniFin Group’s liquidity portfolio and derivative counterparties, potentially decreasing the liquidity of assets.</w:t>
      </w:r>
    </w:p>
    <w:p w14:paraId="2D341A7A" w14:textId="77777777" w:rsidR="0049699A" w:rsidRDefault="00000000">
      <w:r>
        <w:lastRenderedPageBreak/>
        <w:t>Funding risk Limited access to funding Social risk events, such as allegations of corruption or other unethical business practices can lead to loss of confidence among investors and funding sources.</w:t>
      </w:r>
    </w:p>
    <w:p w14:paraId="42E892A9" w14:textId="77777777" w:rsidR="0049699A" w:rsidRDefault="00000000">
      <w:r>
        <w:t>For example, if an investor or funding dealer is implicated in a scandal, they may face boycotts from socially responsible investors resulting MuniFin Group to lose access to these funding sources.</w:t>
      </w:r>
    </w:p>
    <w:p w14:paraId="6F4F3D26" w14:textId="77777777" w:rsidR="0049699A" w:rsidRDefault="00000000">
      <w:r>
        <w:t>Financial risk categories, potential social risk events and their transmission channels for MuniFin Group MuniFin Group has not identified any projects or counterparties in the past that would be socially harmful or would significantly harm the social objectives of its business strategy.</w:t>
      </w:r>
    </w:p>
    <w:p w14:paraId="4DE9E040" w14:textId="77777777" w:rsidR="0049699A" w:rsidRDefault="00000000">
      <w:r>
        <w:t>MuniFin Group has not set any specific limits for projects or counterparties that could significantly harm the social objectives.</w:t>
      </w:r>
    </w:p>
    <w:p w14:paraId="204CE46C" w14:textId="77777777" w:rsidR="0049699A" w:rsidRDefault="00000000">
      <w:r>
        <w:t>Therefore, it should be noted that the main risk mitigation approach for governance risk is already taken in the form of MuniFin Group’s specific business model, which allows as defined by the Act on Municipal Guarantee Board to use the MGB guaranteed funding only for limited clientele consisting of local and regional government entities and affordable social housing production entities and thus considered low risk entities in respect of governance risk.</w:t>
      </w:r>
    </w:p>
    <w:p w14:paraId="40E3CFA9" w14:textId="77777777" w:rsidR="0049699A" w:rsidRDefault="00000000">
      <w:r>
        <w:t>Availability of such information is still quite limited in relation to small municipalities, wellbeing services counties and affordable social housing sector entities where non-financial information reporting is not compulsory.</w:t>
      </w:r>
    </w:p>
    <w:p w14:paraId="7EA26AB8" w14:textId="77777777" w:rsidR="0049699A" w:rsidRDefault="00000000">
      <w:r>
        <w:t>The difference in the treatment of derivatives between the IFRS and regulatory frameworks is shown on row 11 and arises from the counterparty credit risk framework and applying CRR SA-CCR method to derivatives.</w:t>
      </w:r>
    </w:p>
    <w:p w14:paraId="37E51D5D" w14:textId="77777777" w:rsidR="0049699A" w:rsidRDefault="00000000">
      <w:r>
        <w:t>Scope of application 90/254 Municipality Finance Plc Pillar III Disclosure Report 2024 Governance and risk methodologies Pillar III tables MuniFin Group applies a market-based approach when the instrument has a functioning market and public price quotations are available.</w:t>
      </w:r>
    </w:p>
    <w:p w14:paraId="6BA450AC" w14:textId="77777777" w:rsidR="0049699A" w:rsidRDefault="00000000">
      <w:r>
        <w:t>MuniFin Group has implemented a framework for the arrangements, activities and procedures with regards to the Group’s model risk management.</w:t>
      </w:r>
    </w:p>
    <w:p w14:paraId="19B7D929" w14:textId="77777777" w:rsidR="0049699A" w:rsidRDefault="00000000">
      <w:r>
        <w:t xml:space="preserve">Own funds 101/254 Municipality Finance Plc Pillar III Disclosure Report 2024 Governance and risk methodologies Pillar III tables 31 Dec 2024, , Amounts Source based on reference numbers/letters of the balance sheet under the regulatory scope of consolidation Amounts below the thresholds for deduction before risk weighting 72 Direct and indirect holdings of own funds and eligible liabilities of financial sector entities where the institution does not have a significant investment in those entities amount below 10% threshold and net of eligible short positions 73 Direct and indirect holdings by the institution of the CET1 </w:t>
      </w:r>
      <w:r>
        <w:lastRenderedPageBreak/>
        <w:t>instruments of financial sector entities where the institution has a significant investment in those entities amount below 17.</w:t>
      </w:r>
    </w:p>
    <w:p w14:paraId="2E2BB6EF" w14:textId="77777777" w:rsidR="009A11FC" w:rsidRDefault="00000000">
      <w:r>
        <w:t>Own funds 107/254 Municipality Finance Plc Pillar III Disclosure Report 2024 Governance and risk methodologies Pillar III tables 31 Dec 2023</w:t>
      </w:r>
      <w:r w:rsidR="009A11FC">
        <w:t>.</w:t>
      </w:r>
    </w:p>
    <w:p w14:paraId="3D12CB58" w14:textId="5E15A7B1" w:rsidR="0049699A" w:rsidRDefault="00000000">
      <w:r>
        <w:t>Amounts Source based on reference numbers/letters of the balance sheet under the regulatory scope of consolidation Amounts below the thresholds for deduction before risk weighting 72 Direct and indirect holdings of own funds and eligible liabilities of financial sector entities where the institution does not have a significant investment in those entities amount below 10% threshold and net of eligible short positions 73 Direct and indirect holdings by the institution of the CET1 instruments of financial sector entities where the institution has a significant investment in those entities amount below 17.</w:t>
      </w:r>
    </w:p>
    <w:p w14:paraId="166443BB" w14:textId="77777777" w:rsidR="0049699A" w:rsidRDefault="00000000">
      <w:r>
        <w:t xml:space="preserve">Credit risk </w:t>
      </w:r>
      <w:proofErr w:type="spellStart"/>
      <w:r>
        <w:t>standardised</w:t>
      </w:r>
      <w:proofErr w:type="spellEnd"/>
      <w:r>
        <w:t xml:space="preserve"> approach EU CRD Qualitative disclosure requirements related to standardised approach The capital requirement for credit risk is calculated using the standardised approach.</w:t>
      </w:r>
    </w:p>
    <w:p w14:paraId="1F872791" w14:textId="77777777" w:rsidR="0049699A" w:rsidRDefault="00000000">
      <w:r>
        <w:t>Financial assets classified as encumbered assets relate to loans that have been pledged to the Municipal Guarantee Board as counter collateral for guarantees it has given to MuniFin’s funding, loans that are pledged to the central bank for possible monetary policy operations and cash collateral pertaining to derivatives.</w:t>
      </w:r>
    </w:p>
    <w:p w14:paraId="1F0595DB" w14:textId="77777777" w:rsidR="0049699A" w:rsidRDefault="00000000">
      <w:r>
        <w:t>To align with the PCAF phase-in approach for scope 3 reporting in lending, MuniFin Group has included scope 3 financed emissions of business loans from 2024 onwards.</w:t>
      </w:r>
    </w:p>
    <w:p w14:paraId="3452C488" w14:textId="77777777" w:rsidR="0049699A" w:rsidRDefault="00000000">
      <w:r>
        <w:t>Asset categories financed include renewable energy, energy efficiency, green buildings, pollution prevention and control, clean transportation, sustainable management of living natural resources etc.</w:t>
      </w:r>
    </w:p>
    <w:p w14:paraId="664A644E" w14:textId="77777777" w:rsidR="0049699A" w:rsidRDefault="00000000">
      <w:r>
        <w:t>Loans rows 8-14 MuniFin Group’s green finance is granted according to the latest version of the MuniFin Green Bond Framework.</w:t>
      </w:r>
    </w:p>
    <w:p w14:paraId="4EF6E871" w14:textId="77777777" w:rsidR="0049699A" w:rsidRDefault="00000000">
      <w:r>
        <w:t>MuniFin Group has granted green finance using portfolio approach since 2016 with the latest framework dated in August 2022.</w:t>
      </w:r>
    </w:p>
    <w:p w14:paraId="7140044D" w14:textId="77777777" w:rsidR="0049699A" w:rsidRDefault="00000000">
      <w:r>
        <w:t>The projects are classified in four categories, buildings, transportation, renewable energy, and water and wastewater management.</w:t>
      </w:r>
    </w:p>
    <w:p w14:paraId="5F2EBCC9" w14:textId="77777777" w:rsidR="00E32AE9" w:rsidRDefault="00000000">
      <w:r>
        <w:t xml:space="preserve">ESG risks 238/254 Municipality Finance Plc Pillar III Disclosure Report 2024 Governance and risk methodologies Pillar III tables specific eligibility criteria may include non-compulsory criteria to be considered and promoted </w:t>
      </w:r>
      <w:proofErr w:type="gramStart"/>
      <w:r>
        <w:t>in order to</w:t>
      </w:r>
      <w:proofErr w:type="gramEnd"/>
      <w:r>
        <w:t xml:space="preserve"> make </w:t>
      </w:r>
      <w:proofErr w:type="gramStart"/>
      <w:r>
        <w:t>environmentally-friendly</w:t>
      </w:r>
      <w:proofErr w:type="gramEnd"/>
      <w:r>
        <w:t xml:space="preserve"> investments more attractive to the Group’s customers and facilitate the implementation of the EU Taxonomy.</w:t>
      </w:r>
    </w:p>
    <w:p w14:paraId="0B770DFE" w14:textId="73F027AB" w:rsidR="0049699A" w:rsidRDefault="00000000">
      <w:r>
        <w:lastRenderedPageBreak/>
        <w:t>Finnish municipalities’, joint municipal authorities’, municipality owned companies’ and affordable social housing companies’ projects that promote the transition to low carbon and climate resilient growth.</w:t>
      </w:r>
    </w:p>
    <w:p w14:paraId="71607ED8" w14:textId="77777777" w:rsidR="0049699A" w:rsidRDefault="00000000">
      <w:r>
        <w:t>For example, focus on energy efficiency of the buildings and the renewable methods for energy production and transportation lead into lower transition risk in comparison to more carbon intensive alternatives.</w:t>
      </w:r>
    </w:p>
    <w:p w14:paraId="1DEF1FCE" w14:textId="77777777" w:rsidR="0049699A" w:rsidRDefault="00000000">
      <w:r>
        <w:t>High level summary Reference Article 435 Disclosure of risk management objectives and policies 1, Strategies and processes to manage risks.</w:t>
      </w:r>
    </w:p>
    <w:p w14:paraId="79A3D48F" w14:textId="77777777" w:rsidR="0049699A" w:rsidRDefault="00000000">
      <w:r>
        <w:t>Pillar III Disclosure Report 2024 Part 2, chapter 11, template EU MR1 Article 446 Disclosure of operational risk management, The approaches for the assessment of own funds requirements for operation risk that the institution qualifies for.</w:t>
      </w:r>
    </w:p>
    <w:p w14:paraId="1D1E7108" w14:textId="77777777" w:rsidR="0049699A" w:rsidRDefault="00000000">
      <w:r>
        <w:t>High level summary Reference Article 449 Disclosure of exposures to securitisation positions Exposure to securitisation positions Not applicable Article 449a Disclosure of environmental, social and governance risks ESG risks Information on ESG risks, including physical risks and transition risks Pillar III Disclosure Report 2024 Part 1, chapter 9 Part 2, chapter 16 Article 450 Disclosure of remuneration policy 1, Information concerning the decision-making process of remuneration committee.</w:t>
      </w:r>
    </w:p>
    <w:p w14:paraId="33E2F5C8" w14:textId="5E42191F" w:rsidR="0049699A" w:rsidRDefault="00000000">
      <w:r>
        <w:t>Pillar III Disclosure Report 2024 Part 2, chapter 5, table EU LRA 2 Public development credit institutions as defined in Article 429a, shall disclose the leverage ratio without the adjustment to the total exposure measure determined in accordance with point, of the first subparagraph of Article 429a.</w:t>
      </w:r>
    </w:p>
    <w:sectPr w:rsidR="004969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388800191">
    <w:abstractNumId w:val="8"/>
  </w:num>
  <w:num w:numId="2" w16cid:durableId="1053457289">
    <w:abstractNumId w:val="6"/>
  </w:num>
  <w:num w:numId="3" w16cid:durableId="1484195576">
    <w:abstractNumId w:val="5"/>
  </w:num>
  <w:num w:numId="4" w16cid:durableId="831801588">
    <w:abstractNumId w:val="4"/>
  </w:num>
  <w:num w:numId="5" w16cid:durableId="921720999">
    <w:abstractNumId w:val="7"/>
  </w:num>
  <w:num w:numId="6" w16cid:durableId="1755125143">
    <w:abstractNumId w:val="3"/>
  </w:num>
  <w:num w:numId="7" w16cid:durableId="1177386937">
    <w:abstractNumId w:val="2"/>
  </w:num>
  <w:num w:numId="8" w16cid:durableId="647973281">
    <w:abstractNumId w:val="1"/>
  </w:num>
  <w:num w:numId="9" w16cid:durableId="1728841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B7C"/>
    <w:rsid w:val="0015074B"/>
    <w:rsid w:val="0029639D"/>
    <w:rsid w:val="0030502D"/>
    <w:rsid w:val="00326F90"/>
    <w:rsid w:val="0049699A"/>
    <w:rsid w:val="005E7043"/>
    <w:rsid w:val="00745298"/>
    <w:rsid w:val="00894A01"/>
    <w:rsid w:val="009172EE"/>
    <w:rsid w:val="00971A24"/>
    <w:rsid w:val="009A11FC"/>
    <w:rsid w:val="00AA1D8D"/>
    <w:rsid w:val="00B47730"/>
    <w:rsid w:val="00CB0664"/>
    <w:rsid w:val="00E32A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45B83"/>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6150</Words>
  <Characters>35059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2025-07-30T17:57:00Z</dcterms:modified>
  <cp:category/>
</cp:coreProperties>
</file>