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EEE9" w14:textId="77777777" w:rsidR="00F2404A" w:rsidRDefault="00000000">
      <w:r>
        <w:t>Basis for Opinion Audit Framework We conducted our audit in accordance with professional standards applicable in France.</w:t>
      </w:r>
    </w:p>
    <w:p w14:paraId="0A4E51DD" w14:textId="77777777" w:rsidR="00F2404A" w:rsidRDefault="00000000">
      <w:r>
        <w:t>The Audit Committee is responsible for monitoring the financial reporting process and the effectiveness of internal control and risks management systems and where applicable, its internal audit, regarding the accounting and financial reporting procedures.</w:t>
      </w:r>
    </w:p>
    <w:p w14:paraId="79A7505E" w14:textId="77777777" w:rsidR="00F2404A" w:rsidRDefault="00000000">
      <w:r>
        <w:t>The statutory auditor is responsible for the direction, supervision and performance of the audit of the consolidated financial statements and for the opinion expressed on these consolidated financial statements.</w:t>
      </w:r>
    </w:p>
    <w:p w14:paraId="22C3121F" w14:textId="77777777" w:rsidR="00F2404A" w:rsidRDefault="00000000">
      <w:r>
        <w:t>It was decided to pay shareholders a dividend of €600 million on the 2022 result, ie a dividend per share of €600 Dividends for 2023 On the Ordinary General Meeting on 9 February 2024, the Board of Directors called to approve the financial statements for the year ended 31 December 2023 decided to pay a dividend of €600 million, ie a dividend per share of €600.</w:t>
      </w:r>
    </w:p>
    <w:p w14:paraId="309AFF5D" w14:textId="77777777" w:rsidR="00F2404A" w:rsidRDefault="00000000">
      <w:r>
        <w:t>Such plans and schemes release the group from any later obligations, as the national or private institution is responsible for paying employees the amounts owed to them.</w:t>
      </w:r>
    </w:p>
    <w:p w14:paraId="45434CEE" w14:textId="77777777" w:rsidR="00F2404A" w:rsidRDefault="00000000">
      <w:r>
        <w:t>Moreover, insurance products and their distribution are subject to periodic reviews in accordance with regulatory oversight and product governance requirements.</w:t>
      </w:r>
    </w:p>
    <w:p w14:paraId="41EB1E80" w14:textId="77777777" w:rsidR="00F2404A" w:rsidRDefault="00000000">
      <w:r>
        <w:t>In addition, the group has access to the bond markets in multiple currencies, whether to finance European assets or to support its development outside Europe.</w:t>
      </w:r>
    </w:p>
    <w:p w14:paraId="73FDFEBF" w14:textId="77777777" w:rsidR="00F2404A" w:rsidRDefault="00000000">
      <w:r>
        <w:t>The success of this operation shows that the Groups ESG strategy is appreciated by the market and confirms Mobilize Financial Services commitment to the fight against climate change.</w:t>
      </w:r>
    </w:p>
    <w:p w14:paraId="7222D4F4" w14:textId="77777777" w:rsidR="00F2404A" w:rsidRDefault="00000000">
      <w:r>
        <w:t>At 31 December 2023, the ratios calculated did not reveal any non‑compliance with regulatory requirements.</w:t>
      </w:r>
    </w:p>
    <w:p w14:paraId="3D508050" w14:textId="77777777" w:rsidR="00F2404A" w:rsidRDefault="00000000">
      <w:r>
        <w:t>Mobilize Financial Servicess oversight of liquidity risk is based on the following, Static liquidity This indicator measures the difference gap between existing liabilities and assets at a given date without any assumptions as to the renewal of liabilities or assets.</w:t>
      </w:r>
    </w:p>
    <w:p w14:paraId="545757A6" w14:textId="77777777" w:rsidR="00F2404A" w:rsidRDefault="00000000">
      <w:r>
        <w:t>Other long‑term securities This category includes investments made in the form of securities with a view to fostering the development of long‑term professional relationships by creating a special link with the issuing company, but without influence over the management of the companies whose securities are held because of the low percentage of voting rights they represent.</w:t>
      </w:r>
    </w:p>
    <w:p w14:paraId="35CA6C4C" w14:textId="77777777" w:rsidR="00F2404A" w:rsidRDefault="00000000">
      <w:r>
        <w:t>In addition, the Group has access to the bond markets in multiple currencies, whether to finance European assets or to support its development outside Europe.</w:t>
      </w:r>
    </w:p>
    <w:p w14:paraId="4D268824" w14:textId="187D825B" w:rsidR="00F2404A" w:rsidRDefault="00000000">
      <w:r>
        <w:lastRenderedPageBreak/>
        <w:t>Oversight of RCI Banque S</w:t>
      </w:r>
      <w:r w:rsidR="002E20F6">
        <w:t xml:space="preserve"> </w:t>
      </w:r>
      <w:r>
        <w:t xml:space="preserve">liquidity risk </w:t>
      </w:r>
      <w:proofErr w:type="gramStart"/>
      <w:r>
        <w:t>takes into account</w:t>
      </w:r>
      <w:proofErr w:type="gramEnd"/>
      <w:r>
        <w:t xml:space="preserve"> EBA recommendations on the Internal Liquidity Adequacy Assessment Process and is based on the following components, Credit business risk The quality of the Customer portfolio was broadly stable in 2023 with a slight increase in non‑performing exposures compared to 2022.</w:t>
      </w:r>
    </w:p>
    <w:p w14:paraId="5A419BFA" w14:textId="77777777" w:rsidR="00F2404A" w:rsidRDefault="00000000">
      <w:r>
        <w:t>The Group continues to aim to maintain an overall credit risk at a level compatible with the expectations of the financial community and its profitability targets.</w:t>
      </w:r>
    </w:p>
    <w:p w14:paraId="2209A9ED" w14:textId="77777777" w:rsidR="00F2404A" w:rsidRDefault="00000000">
      <w:r>
        <w:t>The success of this operation shows that the Groups ESG strategy is appreciated by the market and confirms MFSs commitment to the fight against climate change.</w:t>
      </w:r>
    </w:p>
    <w:p w14:paraId="67C8B659" w14:textId="77777777" w:rsidR="00F2404A" w:rsidRDefault="00000000">
      <w:r>
        <w:t>Basis for Opinion Audit Framework We conducted our audit in accordance with professional standards applicable in France.</w:t>
      </w:r>
    </w:p>
    <w:p w14:paraId="1A085897" w14:textId="77777777" w:rsidR="00F2404A" w:rsidRDefault="00000000">
      <w:r>
        <w:t>Our audit response With the support of our credit risk experts and IT specialists, our work involved, Specific Verifications In accordance with professional standards applicable in France, we also performed the specific verifications required by law and regulations.</w:t>
      </w:r>
    </w:p>
    <w:p w14:paraId="4D3B4DAE" w14:textId="77777777" w:rsidR="00F2404A" w:rsidRDefault="00000000">
      <w:r>
        <w:t>The Audit Committee is responsible for monitoring the financial reporting process and the effectiveness of internal control and risks management systems and where applicable, its internal audit, regarding the accounting and financial reporting procedures.</w:t>
      </w:r>
    </w:p>
    <w:p w14:paraId="771FE838" w14:textId="6CDCE845" w:rsidR="00F2404A" w:rsidRDefault="00000000">
      <w:r>
        <w:t>Statutory Auditors report on the annual financial statements Statutory Auditors responsibilities for the audit of the annual financial statements Objectives and audit approach Our role is to issue a report on the annual financial statements.</w:t>
      </w:r>
    </w:p>
    <w:p w14:paraId="1E1CAEA5" w14:textId="77777777" w:rsidR="00F2404A" w:rsidRDefault="00000000">
      <w:r>
        <w:t>To support Mobilizes development, Mobilize Financial Services leverages on its 100 years of expertise, its commercial and financial performance, and its regular contacts with more than 4 million customers, whose satisfaction is constantly increasing.</w:t>
      </w:r>
    </w:p>
    <w:p w14:paraId="4D64C4FC" w14:textId="77777777" w:rsidR="00F2404A" w:rsidRDefault="00000000">
      <w:r>
        <w:t>Almost 4,000 employees are fully committed to create sustainable mobility for all Mobilize Financial Services focuses on three key priorities, Leveraging nearly 100 years of expertise in automotive financing, we aim to expand financing for used vehicles as well as subscription and operational leasing offers.</w:t>
      </w:r>
    </w:p>
    <w:p w14:paraId="658D29E7" w14:textId="21F0584A" w:rsidR="00F2404A" w:rsidRDefault="00000000">
      <w:r>
        <w:t>The success achieved through this operation demonstrates that the Groups ESG strategy is well‑received by the market and confirms Mobilize FS commitment to the fight against climate change.</w:t>
      </w:r>
    </w:p>
    <w:p w14:paraId="1196AB5E" w14:textId="02C60C5E" w:rsidR="00F2404A" w:rsidRDefault="00000000">
      <w:r>
        <w:t xml:space="preserve">In addition, demand for vehicles from financed brands can be affected by the following factors, </w:t>
      </w:r>
      <w:r w:rsidR="00CF4987">
        <w:t>i</w:t>
      </w:r>
      <w:r>
        <w:t>n addition, the success of Mobilize F</w:t>
      </w:r>
      <w:r w:rsidR="004E3A6C">
        <w:t xml:space="preserve"> </w:t>
      </w:r>
      <w:r>
        <w:t>Groups strategic plan depends on several levers, such as the performance of its products and investments and its ability to maintain a high level of customer satisfaction, as well as on appropriate governance of the strategic plan to ensure the support of Mobilize F.</w:t>
      </w:r>
    </w:p>
    <w:p w14:paraId="0E5812C4" w14:textId="6F8C086D" w:rsidR="00F2404A" w:rsidRDefault="00000000">
      <w:r>
        <w:t>The development and profitability of Mobilize FS activities in emerging countries depend on the economic health and political stability of these countries.</w:t>
      </w:r>
    </w:p>
    <w:p w14:paraId="6F494858" w14:textId="58652312" w:rsidR="00F2404A" w:rsidRDefault="00000000">
      <w:r>
        <w:lastRenderedPageBreak/>
        <w:t>Risk factors Climate and environmental risks could affect Mobilize F</w:t>
      </w:r>
      <w:r w:rsidR="00FA16A8">
        <w:t xml:space="preserve"> </w:t>
      </w:r>
      <w:r>
        <w:t xml:space="preserve">Groups business, operating results, financial condition and reputation Climate and environmental risks are linked to two families of risks, </w:t>
      </w:r>
      <w:r w:rsidR="001F0D3F">
        <w:t>t</w:t>
      </w:r>
      <w:r>
        <w:t>hey are seen as factors that can increase certain traditional risk categories credit risk, residual value risk, strategic risk, liquidity risk, operational and compliance risk, insurance risk.</w:t>
      </w:r>
    </w:p>
    <w:p w14:paraId="69695446" w14:textId="77777777" w:rsidR="00F2404A" w:rsidRDefault="00000000">
      <w:r>
        <w:t>The Group could be exposed to physical climate risk impacting its ability to maintain its services in geographical areas impacted by extreme events floods, droughts, etc.</w:t>
      </w:r>
    </w:p>
    <w:p w14:paraId="08D2E876" w14:textId="77777777" w:rsidR="00F2404A" w:rsidRDefault="00000000">
      <w:r>
        <w:t>The impact on strategic objectives is potentially strong in view of the very high stakes for car manufacturers, who must respond to rapidly changing regulations, particularly in terms of vehicle emissions, while facing an infrastructure environment under construction and the entry of new players.</w:t>
      </w:r>
    </w:p>
    <w:p w14:paraId="312873CF" w14:textId="75633E02" w:rsidR="00F2404A" w:rsidRDefault="00000000">
      <w:r>
        <w:t>Liquidity risk is the risk that Mobilize F</w:t>
      </w:r>
      <w:r w:rsidR="000130C0">
        <w:t xml:space="preserve"> </w:t>
      </w:r>
      <w:r>
        <w:t>Group will not be able to honor its commitments or finance the development of its activities in accordance with its commercial objectives.</w:t>
      </w:r>
    </w:p>
    <w:p w14:paraId="77EF8FA2" w14:textId="77777777" w:rsidR="00F2404A" w:rsidRDefault="00000000">
      <w:r>
        <w:t>Information and communication technology risk can be broken down into risks relating to information systems governance, outsourcing, security, change management and operations production, IT business continuity and data qualityintegrity.</w:t>
      </w:r>
    </w:p>
    <w:p w14:paraId="3C6625F9" w14:textId="77777777" w:rsidR="00F2404A" w:rsidRDefault="00000000">
      <w:r>
        <w:t>A lack of control over these external parties to protect the institutions systems and information confidentiality, integrity, availability may have an impact on the institutions ability to comply with regulatory requirements and to ensure its activities are properly carried out.</w:t>
      </w:r>
    </w:p>
    <w:p w14:paraId="35CB9F7E" w14:textId="77777777" w:rsidR="00F2404A" w:rsidRDefault="00000000">
      <w:r>
        <w:t>In addition to the regulatory changes outlined above, the European Central Bank the ECB has taken important initiatives to ensure that the capital requirements of banks using internal models are calculated correctly, consistently, and comparably.</w:t>
      </w:r>
    </w:p>
    <w:p w14:paraId="5D73C16C" w14:textId="5FFB968A" w:rsidR="00F2404A" w:rsidRDefault="00000000">
      <w:r>
        <w:t>As a provider of financing, insurance, banking deposit and other vehicle‑related services, the Mobilize F</w:t>
      </w:r>
      <w:r w:rsidR="00661030">
        <w:t xml:space="preserve"> </w:t>
      </w:r>
      <w:r>
        <w:t>Group deals very carefully with the requirements of banking and insurance laws and regulations, competition practices and customer protection rules, ethical issues, money laundering laws, data protection laws and information security policies.</w:t>
      </w:r>
    </w:p>
    <w:p w14:paraId="3CD02F71" w14:textId="77777777" w:rsidR="00F2404A" w:rsidRDefault="00000000">
      <w:r>
        <w:t>Any non‑compliance or failure to address these issues appropriately could result in additional legal risk and financial losses through regulatory fines or reprimands, litigation or reputational damage and, in extreme scenarios, suspension of operations or even withdrawal of authority to do business.</w:t>
      </w:r>
    </w:p>
    <w:p w14:paraId="19B8C869" w14:textId="77777777" w:rsidR="00F2404A" w:rsidRDefault="00000000">
      <w:r>
        <w:t>Information systems used for risk management and organizational purposes Use of integrated software The RCI Banque group has chosen to implement an integrated accounting tool Enterprise Resource Planning or ERP recognized on the market.</w:t>
      </w:r>
    </w:p>
    <w:p w14:paraId="60ED2D1F" w14:textId="77777777" w:rsidR="00F2404A" w:rsidRDefault="00000000">
      <w:r>
        <w:t>The use of such a highly structured integrated software package makes it possible to operate its own internal control logic and ensure the consistency and reliability of the information processed.</w:t>
      </w:r>
    </w:p>
    <w:p w14:paraId="05E8FB52" w14:textId="77777777" w:rsidR="00F2404A" w:rsidRDefault="00000000">
      <w:r>
        <w:lastRenderedPageBreak/>
        <w:t>Furthermore, the Groups organization for assessing the internal control and operational risk management system described above applies to the process of preparing financial and accounting information.</w:t>
      </w:r>
    </w:p>
    <w:p w14:paraId="55FE3255" w14:textId="77777777" w:rsidR="00F2404A" w:rsidRDefault="00000000">
      <w:r>
        <w:t>Aware of the challenges of climate change, we are committed to significantly reducing our carbon footprint throughout our value chain.</w:t>
      </w:r>
    </w:p>
    <w:p w14:paraId="13DDD3E7" w14:textId="77777777" w:rsidR="00F2404A" w:rsidRDefault="00000000">
      <w:r>
        <w:t>We devote significant efforts to promoting diversity in all its forms, whether it be gender diversity, the inclusion of people with disabilities or the representation of all communities within our workforce.</w:t>
      </w:r>
    </w:p>
    <w:p w14:paraId="40170369" w14:textId="77777777" w:rsidR="00F2404A" w:rsidRDefault="00000000">
      <w:r>
        <w:t>As a carmaker financing company, we recognize that we have a major role to play in promoting sustainable finance practices and the development of electric mobility, and we are integrating this vision into the heart of our strategy.</w:t>
      </w:r>
    </w:p>
    <w:p w14:paraId="4DEA995A" w14:textId="77777777" w:rsidR="00F2404A" w:rsidRDefault="00000000">
      <w:r>
        <w:t>By encouraging and promoting the development of electric vehicles, we aim to significantly reduce greenhouse gas emissions, thereby reducing our carbon footprint and contributing to the preservation of the environment.</w:t>
      </w:r>
    </w:p>
    <w:p w14:paraId="3C09F31A" w14:textId="1F740AA1" w:rsidR="00F2404A" w:rsidRDefault="00000000">
      <w:r>
        <w:t xml:space="preserve">Our monitoring indicator and level of progress Upstream Scopes 1, 2 and reduction 25% Resources deployed </w:t>
      </w:r>
      <w:proofErr w:type="gramStart"/>
      <w:r>
        <w:t>As</w:t>
      </w:r>
      <w:proofErr w:type="gramEnd"/>
      <w:r>
        <w:t xml:space="preserve"> part of our commitment to a new form of mobility that is more environmentally friendly, we support electric mobility.</w:t>
      </w:r>
    </w:p>
    <w:p w14:paraId="64C00B61" w14:textId="77777777" w:rsidR="00F2404A" w:rsidRDefault="00000000">
      <w:r>
        <w:t>Internally, we have implemented an exhaustive consolidation process for all emissions generated by our various subsidiaries using a dedicated monitoring tool.</w:t>
      </w:r>
    </w:p>
    <w:p w14:paraId="36816766" w14:textId="77777777" w:rsidR="00F2404A" w:rsidRDefault="00000000">
      <w:r>
        <w:t>Now our ambition is to establish a decarbonization trajectory for our own emissions in the main countries where we operate.</w:t>
      </w:r>
    </w:p>
    <w:p w14:paraId="1D6881C2" w14:textId="77777777" w:rsidR="00F2404A" w:rsidRDefault="00000000">
      <w:r>
        <w:t>Through this integrated and proactive approach, we are assessing and managing our overall carbon footprint, thus strengthening our ability to achieve our goal of carbon neutrality.</w:t>
      </w:r>
    </w:p>
    <w:p w14:paraId="4D46B0D0" w14:textId="77777777" w:rsidR="00F2404A" w:rsidRDefault="00000000">
      <w:r>
        <w:t>Social component Our goals As an employer, we place great importance on building a healthy work environment conducive to operational efficiency, talent retention and business growth.</w:t>
      </w:r>
    </w:p>
    <w:p w14:paraId="2BFA0464" w14:textId="77777777" w:rsidR="00F2404A" w:rsidRDefault="00000000">
      <w:r>
        <w:t>Thus, we are solidly committed to achieving gender equality within our organization, 0% pay gap in 2025 and 40% women in top management by 2024.</w:t>
      </w:r>
    </w:p>
    <w:p w14:paraId="3187283A" w14:textId="77777777" w:rsidR="00F2404A" w:rsidRDefault="00000000">
      <w:r>
        <w:t>These goals are key to the development of our employees, and essential to the success of our company, which is based above all on the overall well‑being of our human capital.</w:t>
      </w:r>
    </w:p>
    <w:p w14:paraId="291EFFE1" w14:textId="77777777" w:rsidR="00F2404A" w:rsidRDefault="00000000">
      <w:r>
        <w:t>Career committees have also been set up to ensure equity in professional opportunities, guaranteeing women equal access to training, advancement and leadership.</w:t>
      </w:r>
    </w:p>
    <w:p w14:paraId="254B272B" w14:textId="77777777" w:rsidR="00F2404A" w:rsidRDefault="00000000">
      <w:r>
        <w:t>In order to promote the well‑being of our employees, we implement action plans developed in response to the results of the Groups GPTW and Global Employee Survey.</w:t>
      </w:r>
    </w:p>
    <w:p w14:paraId="4F2A5A96" w14:textId="77777777" w:rsidR="00F2404A" w:rsidRDefault="00000000">
      <w:r>
        <w:lastRenderedPageBreak/>
        <w:t>We prioritize actions specifically focused on well‑being, implementing targeted initiatives based on employee feedback.</w:t>
      </w:r>
    </w:p>
    <w:p w14:paraId="26E20EA6" w14:textId="77777777" w:rsidR="00F2404A" w:rsidRDefault="00000000">
      <w:r>
        <w:t>In addition, we have partnered with a content aggregator, expanding access to a variety of resources to promote the overall well‑being of our employees.</w:t>
      </w:r>
    </w:p>
    <w:p w14:paraId="4958CE32" w14:textId="77777777" w:rsidR="00F2404A" w:rsidRDefault="00000000">
      <w:r>
        <w:t>Governance component Our goals Our goal is to comply with our legal and regulatory framework.</w:t>
      </w:r>
    </w:p>
    <w:p w14:paraId="6EEB3079" w14:textId="77777777" w:rsidR="00F2404A" w:rsidRDefault="00000000">
      <w:r>
        <w:t>This proactive approach strengthens our position as a responsible player, contributing to the long‑term sustainability of our company and preserving the trust of our stakeholders.</w:t>
      </w:r>
    </w:p>
    <w:p w14:paraId="4FAF89C4" w14:textId="77777777" w:rsidR="00F2404A" w:rsidRDefault="00000000">
      <w:r>
        <w:t>We also strive to offer a professional environment that is mindful of environmental, social and ethical issues, anchoring our practices in an overall vision of sustainability.</w:t>
      </w:r>
    </w:p>
    <w:p w14:paraId="1C450F21" w14:textId="77777777" w:rsidR="00F2404A" w:rsidRDefault="00000000">
      <w:r>
        <w:t>In addition, to support our sustainable initiatives, we have issued green bonds, reinforcing our commitment to responsible financing and contributing to projects aligned with our sustainable development goals.</w:t>
      </w:r>
    </w:p>
    <w:p w14:paraId="2062202F" w14:textId="77777777" w:rsidR="00F2404A" w:rsidRDefault="00000000">
      <w:r>
        <w:t>Focusing on sustainability and responsible management, our third objective was demonstrated through the development of a Green Product Policy, a reference document guiding our use of terms related to sustainability.</w:t>
      </w:r>
    </w:p>
    <w:p w14:paraId="6F797194" w14:textId="77777777" w:rsidR="00F2404A" w:rsidRDefault="00000000">
      <w:r>
        <w:t>To consolidate these efforts, we have appointed a Chief Sustainability Officer at Corporate level, as well as Sustainability Champions in each country where we operate.</w:t>
      </w:r>
    </w:p>
    <w:p w14:paraId="2107380C" w14:textId="77777777" w:rsidR="00F2404A" w:rsidRDefault="00000000">
      <w:r>
        <w:t>These combined measures demonstrate our holistic and integrated approach to achieving our corporate social responsibility goals, thus strengthening our position as a proactive and responsible player in our industry.</w:t>
      </w:r>
    </w:p>
    <w:p w14:paraId="2558CFDC" w14:textId="5CDC9480" w:rsidR="00F2404A" w:rsidRDefault="00000000">
      <w:r>
        <w:t>Taxonomy A significant part of the Mobilize F</w:t>
      </w:r>
      <w:r w:rsidR="00227309">
        <w:t xml:space="preserve"> </w:t>
      </w:r>
      <w:r>
        <w:t>Group efforts in terms of sustainable development is now highlighted by the European regulation 2020852 of 18 June 2020, completed by the regulation 20232486 of 27 June 2023 establishing a framework aimed at promoting sustainable investments within the European Union, known as the Taxonomy.</w:t>
      </w:r>
    </w:p>
    <w:p w14:paraId="18746BC7" w14:textId="5159A57A" w:rsidR="00F2404A" w:rsidRDefault="00000000">
      <w:r>
        <w:t>For 2023, Mobilize F</w:t>
      </w:r>
      <w:r w:rsidR="00227309">
        <w:t xml:space="preserve"> </w:t>
      </w:r>
      <w:r>
        <w:t xml:space="preserve">Group considers that, among its various activities, the following activities are eligible for the taxonomy, as a contribution to the objective of mitigating climate change, </w:t>
      </w:r>
      <w:proofErr w:type="gramStart"/>
      <w:r>
        <w:t>These</w:t>
      </w:r>
      <w:proofErr w:type="gramEnd"/>
      <w:r>
        <w:t xml:space="preserve"> eligible activities concern both electric and internal combustion engine vehicles.</w:t>
      </w:r>
    </w:p>
    <w:p w14:paraId="45577B3F" w14:textId="77777777" w:rsidR="00F2404A" w:rsidRDefault="00000000">
      <w:r>
        <w:t>Within this perimeter, activities that make a substantial contribution to the objective in question, do not cause significant harm Do Not Significantly Harm or DNSH to other environmental objectives, and respect minimum guarantees are considered aligned.</w:t>
      </w:r>
    </w:p>
    <w:p w14:paraId="48200471" w14:textId="77777777" w:rsidR="00F2404A" w:rsidRDefault="00000000">
      <w:r>
        <w:t>Climate change adaptation As part of the TCFD, Renault Group has conducted an assessment of climate risk and vulnerability in order to identify the sites that are susceptible to physical climate risks.</w:t>
      </w:r>
    </w:p>
    <w:p w14:paraId="0F5733C0" w14:textId="77777777" w:rsidR="00F2404A" w:rsidRDefault="00000000">
      <w:r>
        <w:lastRenderedPageBreak/>
        <w:t>Regarding waste management, Renault Group and Renault Groups European factories producing low‑emission vehicles prioritize recycling while trying to minimize any landfilling.</w:t>
      </w:r>
    </w:p>
    <w:p w14:paraId="1F691848" w14:textId="77777777" w:rsidR="00F2404A" w:rsidRDefault="00000000">
      <w:r>
        <w:t>The requirements of the Taxonomy going beyond regulatory compliance on this criterion, additional analysis was conducted and demonstrated that most of the tire references originally equipping a low‑emission vehicle meet this criterion.</w:t>
      </w:r>
    </w:p>
    <w:p w14:paraId="18015352" w14:textId="47040185" w:rsidR="00F2404A" w:rsidRDefault="00000000">
      <w:r>
        <w:t>To the best of our knowledge, the Mobilize FS group was not convicted for corruption, tax evasion or human rights violations in 2023, or, by a competition authority, for anti‑competitive practices.</w:t>
      </w:r>
    </w:p>
    <w:p w14:paraId="05E61DD3" w14:textId="77777777" w:rsidR="00F2404A" w:rsidRDefault="00000000">
      <w:r>
        <w:t>The Climate Fresk is an interactive educational tool that raises collective awareness and helps us identify the action levers we can mobilize as a responsible company.</w:t>
      </w:r>
    </w:p>
    <w:p w14:paraId="6812E17F" w14:textId="77777777" w:rsidR="00F2404A" w:rsidRDefault="00000000">
      <w:r>
        <w:t xml:space="preserve">The benefits of the initiative have been </w:t>
      </w:r>
      <w:proofErr w:type="gramStart"/>
      <w:r>
        <w:t>manifold</w:t>
      </w:r>
      <w:proofErr w:type="gramEnd"/>
      <w:r>
        <w:t>, on the one hand, for the organization, which has strengthened its sustainable development strategy and commitment, and on the other, for the employees, who have put their collective intelligence and creativity to good use.</w:t>
      </w:r>
    </w:p>
    <w:p w14:paraId="386A1F7E" w14:textId="565DA2AF" w:rsidR="00F2404A" w:rsidRDefault="00000000">
      <w:r>
        <w:t>Since the launch of Women in Tech, Mobilize F</w:t>
      </w:r>
      <w:r w:rsidR="00893BB1">
        <w:t xml:space="preserve"> </w:t>
      </w:r>
      <w:r>
        <w:t>UK has achieved gender parity within the management of the IT team, with 40% female representation, underlining its efforts to promote diversity and inclusion in traditionally male‑dominated fields.</w:t>
      </w:r>
    </w:p>
    <w:sectPr w:rsidR="00F240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6977432">
    <w:abstractNumId w:val="8"/>
  </w:num>
  <w:num w:numId="2" w16cid:durableId="1671983797">
    <w:abstractNumId w:val="6"/>
  </w:num>
  <w:num w:numId="3" w16cid:durableId="388303625">
    <w:abstractNumId w:val="5"/>
  </w:num>
  <w:num w:numId="4" w16cid:durableId="487095442">
    <w:abstractNumId w:val="4"/>
  </w:num>
  <w:num w:numId="5" w16cid:durableId="757363360">
    <w:abstractNumId w:val="7"/>
  </w:num>
  <w:num w:numId="6" w16cid:durableId="589772065">
    <w:abstractNumId w:val="3"/>
  </w:num>
  <w:num w:numId="7" w16cid:durableId="1232471506">
    <w:abstractNumId w:val="2"/>
  </w:num>
  <w:num w:numId="8" w16cid:durableId="1912497014">
    <w:abstractNumId w:val="1"/>
  </w:num>
  <w:num w:numId="9" w16cid:durableId="157944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C0"/>
    <w:rsid w:val="00034616"/>
    <w:rsid w:val="0006063C"/>
    <w:rsid w:val="0015074B"/>
    <w:rsid w:val="001F0D3F"/>
    <w:rsid w:val="00227309"/>
    <w:rsid w:val="0029639D"/>
    <w:rsid w:val="002E20F6"/>
    <w:rsid w:val="00316AC7"/>
    <w:rsid w:val="00326F90"/>
    <w:rsid w:val="004E3A6C"/>
    <w:rsid w:val="00661030"/>
    <w:rsid w:val="00672963"/>
    <w:rsid w:val="006D7C75"/>
    <w:rsid w:val="00893BB1"/>
    <w:rsid w:val="00AA1D8D"/>
    <w:rsid w:val="00AD0737"/>
    <w:rsid w:val="00B47730"/>
    <w:rsid w:val="00CB0664"/>
    <w:rsid w:val="00CF4987"/>
    <w:rsid w:val="00D7461B"/>
    <w:rsid w:val="00F2404A"/>
    <w:rsid w:val="00FA1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E0BAC"/>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14</cp:revision>
  <dcterms:created xsi:type="dcterms:W3CDTF">2013-12-23T23:15:00Z</dcterms:created>
  <dcterms:modified xsi:type="dcterms:W3CDTF">2025-08-02T18:37:00Z</dcterms:modified>
  <cp:category/>
</cp:coreProperties>
</file>