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C8CB6" w14:textId="77777777" w:rsidR="003228A2" w:rsidRDefault="00000000">
      <w:r>
        <w:t>We confirm, after taking all reasonable measures to that end, that the information disclosed as of December 31, 2024 has been subjected to the same degree of internal control and same internal control procedures as other information provided as regards the financial report.</w:t>
      </w:r>
    </w:p>
    <w:p w14:paraId="50300FE6" w14:textId="1D1E5161" w:rsidR="003228A2" w:rsidRDefault="00000000">
      <w:r>
        <w:t>Liquidity and funding cost risk, liquidity risk occurs when Mobilize FS group is unable to honor its commitments or cannot finance the development of its business in line with its commercial objectives.</w:t>
      </w:r>
    </w:p>
    <w:p w14:paraId="5EDED28E" w14:textId="77777777" w:rsidR="003228A2" w:rsidRDefault="00000000">
      <w:r>
        <w:t>Non-compliance risks, risk of legal, administrative or disciplinary sanctions, of significant financial loss or reputational damage, arising due to non-compliance with provisions specific to banking and financial activities laws and regulations in force, ethics codes, national, European and international banking regulations.</w:t>
      </w:r>
    </w:p>
    <w:p w14:paraId="511648E5" w14:textId="61CA840D" w:rsidR="003228A2" w:rsidRDefault="00000000">
      <w:r>
        <w:t>Business development risks including strategic, concentration, climate and environmental risk The operating income and financial position of Mobilize F</w:t>
      </w:r>
      <w:r w:rsidR="00E66DB0">
        <w:t xml:space="preserve"> </w:t>
      </w:r>
      <w:r>
        <w:t>Group depend on the Renault Groups corporate strategy and sales, as well as those of the Nissan and Mitsubishi brands</w:t>
      </w:r>
      <w:r w:rsidR="00DF7AF6">
        <w:t xml:space="preserve"> i</w:t>
      </w:r>
      <w:r>
        <w:t>n addition, the success of Mobilize F</w:t>
      </w:r>
      <w:r w:rsidR="00B072DD">
        <w:t xml:space="preserve"> </w:t>
      </w:r>
      <w:r>
        <w:t>Group's strategic plan depends on several levers, such as the performance of its products and investments and its ability to maintain a high level of customer satisfaction, as well as on appropriate governance of the strategic plan to ensure the support of Mobilize F.</w:t>
      </w:r>
    </w:p>
    <w:p w14:paraId="51F1234D" w14:textId="64C535F5" w:rsidR="003228A2" w:rsidRDefault="00000000">
      <w:r>
        <w:t>The development and profitability of Mobilize FSs activities in emerging countries depend on the economic health and political stability of these countries.</w:t>
      </w:r>
    </w:p>
    <w:p w14:paraId="2AE41F29" w14:textId="77777777" w:rsidR="003228A2" w:rsidRDefault="00000000">
      <w:r>
        <w:t>Transition risks, linked to technological developments, regulations or market sentiment associated with the transition to a lowcarbon economy They are seen as factors that can increase certain risks credit risk, residual value risk, strategic risk, liquidity risk, operational and compliance risk, insurance risk.</w:t>
      </w:r>
    </w:p>
    <w:p w14:paraId="0C8C27BD" w14:textId="77777777" w:rsidR="003228A2" w:rsidRDefault="00000000">
      <w:r>
        <w:t>The group could be exposed to physical climate risk on its direct activity through insurance products CPI, GAP or being impacted by its ability to maintain its services, as well as indirectly by the negative impact of extreme weather events on its clients business.</w:t>
      </w:r>
    </w:p>
    <w:p w14:paraId="77DD27D7" w14:textId="77777777" w:rsidR="003228A2" w:rsidRDefault="00000000">
      <w:r>
        <w:t>The impact on the strategic objectives is potentially significant given the very high stakes involved for automakers, who must respond to rapidly changing regulations, in particular on vehicles emissions levels, while at the same time dealing with an infrastructure environment under construction and the entry of new players.</w:t>
      </w:r>
    </w:p>
    <w:p w14:paraId="2DC8ADEA" w14:textId="6F29A3AF" w:rsidR="003228A2" w:rsidRDefault="00000000">
      <w:r>
        <w:t xml:space="preserve">Liquidity risk is the risk that Mobilize </w:t>
      </w:r>
      <w:proofErr w:type="spellStart"/>
      <w:r>
        <w:t>FGroup</w:t>
      </w:r>
      <w:proofErr w:type="spellEnd"/>
      <w:r>
        <w:t xml:space="preserve"> will not be able to honor its commitments or finance the development of its activities in accordance with its commercial objectives.</w:t>
      </w:r>
    </w:p>
    <w:p w14:paraId="06C4B038" w14:textId="77777777" w:rsidR="003228A2" w:rsidRDefault="00000000">
      <w:r>
        <w:t>Information and communication technology risk can be broken down into risks relating to information systems governance, outsourcing, security, change management and operations production, IT business continuity and data qualityintegrity.</w:t>
      </w:r>
    </w:p>
    <w:p w14:paraId="42A90F63" w14:textId="77777777" w:rsidR="003228A2" w:rsidRDefault="00000000">
      <w:r>
        <w:lastRenderedPageBreak/>
        <w:t>A lack of control over these external parties to protect the institutions systems and information confidentiality, integrity, availability may have an impact on the institution's ability to comply with regulatory requirements, and to ensure its activities are properly carried out.</w:t>
      </w:r>
    </w:p>
    <w:p w14:paraId="6AC027E6" w14:textId="77777777" w:rsidR="003228A2" w:rsidRDefault="00000000">
      <w:r>
        <w:t>In addition to the regulatory changes outlined above, the European Central Bank the ECB has taken important initiatives to ensure that the capital requirements of banks using internal models are calculated correctly, consistently, and comparably.</w:t>
      </w:r>
    </w:p>
    <w:p w14:paraId="48C8172E" w14:textId="603F4E67" w:rsidR="003228A2" w:rsidRDefault="00000000">
      <w:r>
        <w:t>As a provider of financing, insurance, banking deposit and other vehicle-related services, Mobilize F</w:t>
      </w:r>
      <w:r w:rsidR="00E749BF">
        <w:t xml:space="preserve"> </w:t>
      </w:r>
      <w:r>
        <w:t>Group treats the requirements of banking and insurance laws and regulations, competition practices and customer protection rules, ethical issues, money laundering laws as well as on the fight against corruption Sapin 2 law, data protection laws and information security policies very carefully.</w:t>
      </w:r>
    </w:p>
    <w:p w14:paraId="3F2E2769" w14:textId="77777777" w:rsidR="003228A2" w:rsidRDefault="00000000">
      <w:r>
        <w:t>Any noncompliance or failure to address these issues appropriately could result in additional legal risk and financial losses, through regulatory fines or reprimands, litigation or reputational damage, and in extreme scenarios, suspension of operations or even withdrawal of authority to do business.</w:t>
      </w:r>
    </w:p>
    <w:p w14:paraId="68AACFF8" w14:textId="77777777" w:rsidR="003228A2" w:rsidRDefault="00000000">
      <w:r>
        <w:t>Part 2-1 Risk governance policy risk appetite framework Part 2-2 Organization of risk control Point, of Article 435, CRR Disclose information on the main features of risk disclosure and measurement systems.</w:t>
      </w:r>
    </w:p>
    <w:p w14:paraId="7BF93B5A" w14:textId="77777777" w:rsidR="003228A2" w:rsidRDefault="00000000">
      <w:r>
        <w:t>Part 2-2 Organization of risk control § the governing bodies Point, of Article 435, CRR Information on the diversity policy with regard of the members of the management body.</w:t>
      </w:r>
    </w:p>
    <w:p w14:paraId="2366D8DE" w14:textId="77777777" w:rsidR="003228A2" w:rsidRDefault="00000000">
      <w:r>
        <w:t>The Board of Directors determining and formally defining risk appetite and conscious of it when setting strategic and commercial objectives.</w:t>
      </w:r>
    </w:p>
    <w:p w14:paraId="3B9A8927" w14:textId="77777777" w:rsidR="003228A2" w:rsidRDefault="00000000">
      <w:r>
        <w:t>Clarifying the roles of all parties involved in risk management and raising awareness amongst all managers about due compliance with Risk Governance Policy and with limits.</w:t>
      </w:r>
    </w:p>
    <w:p w14:paraId="328C621A" w14:textId="77777777" w:rsidR="003228A2" w:rsidRDefault="00000000">
      <w:r>
        <w:t>The governing bodies Executive Committee, Board of Directors' Risk Committee ensure consistency and balance between, Business development strategy and commercial objectives, and Risk strategy and associated risk guidelines.</w:t>
      </w:r>
    </w:p>
    <w:p w14:paraId="4E9C5D7B" w14:textId="77777777" w:rsidR="003228A2" w:rsidRDefault="00000000">
      <w:r>
        <w:t>As part of this framework, Risk Appetite is defined for the group as the aggregate level and types of risks that the Board of Directors is willing to assume, in line with the companys risk capacity to achieve its strategic and commercial objectives.</w:t>
      </w:r>
    </w:p>
    <w:p w14:paraId="5FBB0FF3" w14:textId="77777777" w:rsidR="003228A2" w:rsidRDefault="00000000">
      <w:r>
        <w:t>They exercise such responsibility in compliance with the risk management rules and limits set by the Corporate risk steering functions.</w:t>
      </w:r>
    </w:p>
    <w:p w14:paraId="265FB612" w14:textId="77777777" w:rsidR="003228A2" w:rsidRDefault="00000000">
      <w:r>
        <w:t>Each division, in its area of expertise, manages and oversees the risk management system via guidelines and country objectives.</w:t>
      </w:r>
    </w:p>
    <w:p w14:paraId="40D88D62" w14:textId="77777777" w:rsidR="003228A2" w:rsidRDefault="00000000">
      <w:r>
        <w:lastRenderedPageBreak/>
        <w:t>Also, in its compliance control function, Group Compliance division ensures global consistency and efficiency of compliance control system.</w:t>
      </w:r>
    </w:p>
    <w:p w14:paraId="5D1A1906" w14:textId="266ECD7F" w:rsidR="003228A2" w:rsidRDefault="00000000">
      <w:r>
        <w:t>The risk management system covers all the macro processes of the Mobilize FS group and includes the following tools, the list of main risks for the Mobilize FS group for which a coordinator, a level of appetite, alert thresholds and limits Risk Appetite Framework, or RAF are defined.</w:t>
      </w:r>
    </w:p>
    <w:p w14:paraId="4D3EDB16" w14:textId="5BC97FCF" w:rsidR="003228A2" w:rsidRDefault="00000000">
      <w:r>
        <w:t>The system sets thresholds and criteria for communicating incidents to executive directors, Board of Directors, Renault Ethics and Compliance Committee, the French Prudential Supervision and Resolution Authority Autorité de Contrôle Prudentiel et de Résolution ACPR, the European Central Bank and French Banking Federation</w:t>
      </w:r>
      <w:r w:rsidR="004B4BE8">
        <w:t>.</w:t>
      </w:r>
    </w:p>
    <w:p w14:paraId="7F67C802" w14:textId="77777777" w:rsidR="003228A2" w:rsidRDefault="00000000">
      <w:r>
        <w:t>The policy provides in particular a distinct preselection process according to position, a succession plan and an assessment by the Appointments Committee based on specified suitability criteria and taking into consideration a diversity policy for the Board of Directors.</w:t>
      </w:r>
    </w:p>
    <w:p w14:paraId="4B70FFF1" w14:textId="77777777" w:rsidR="003228A2" w:rsidRDefault="00000000">
      <w:r>
        <w:t>On recommendation by the Nominations Committee, the Board of Directors has set a diversity policy consisting in particular of maintaining a minimum proportion of 40% of directors of each sex.</w:t>
      </w:r>
    </w:p>
    <w:p w14:paraId="4917AD1F" w14:textId="77777777" w:rsidR="003228A2" w:rsidRDefault="00000000">
      <w:r>
        <w:t>Its role includes examining the risk map and signing off on the definition of risks, and analyzing and authorizing group risk limits in line with the Boards risk appetite and with a view to assisting the Board in terms of oversight.</w:t>
      </w:r>
    </w:p>
    <w:p w14:paraId="2C595FAC" w14:textId="77777777" w:rsidR="003228A2" w:rsidRDefault="00000000">
      <w:r>
        <w:t>In parallel with the remuneration Committee, it also has the task of examining whether the remuneration policy is compatible with the Companys risk exposure.</w:t>
      </w:r>
    </w:p>
    <w:p w14:paraId="7BB8020D" w14:textId="77777777" w:rsidR="003228A2" w:rsidRDefault="00000000">
      <w:r>
        <w:t>So that it can advise the Board of Directors, this Committee is also responsible for the analysis and approval of the internal control report, the ICAAP and ILAAP systems, the recovery plan, and significant aspects of the rating and estimating processes derived from the Company's internal credit risk models.</w:t>
      </w:r>
    </w:p>
    <w:p w14:paraId="5D33B23E" w14:textId="77777777" w:rsidR="003228A2" w:rsidRDefault="00000000">
      <w:r>
        <w:t>It is responsible for preparing, presenting and monitoring the financial statements, overseeing the statutory audit of the separate and consolidated financial statements, monitoring the independence of the statutory auditors and the definition of their non-auditing services, recommending the appointment of the statutory auditors and monitoring their rotation, verifying the effectiveness of internal control and risk management systems, reviewing the audit plan, analyzing the audits carried out and reviewing investments in unconsolidated companies.</w:t>
      </w:r>
    </w:p>
    <w:p w14:paraId="2349E897" w14:textId="77777777" w:rsidR="003228A2" w:rsidRDefault="00000000">
      <w:r>
        <w:t>Its main task is the annual review of the remuneration policy of management body and of the key position holders including the Chief Risk Officer.</w:t>
      </w:r>
    </w:p>
    <w:p w14:paraId="656CAA31" w14:textId="77777777" w:rsidR="003228A2" w:rsidRDefault="00000000">
      <w:r>
        <w:t xml:space="preserve">On dealer network activity, it reviews changes in outstandings and stock rotation indicators as well as changes in the classification of dealerships and outstandings, the Regulatory </w:t>
      </w:r>
      <w:r>
        <w:lastRenderedPageBreak/>
        <w:t>Committee which reviews major changes in regulations, prudential oversight and action plans, and validates internal rating models and the associated management system, the Internal Control, Operational Risk and Ethics &amp; Compliance Committee manages the whole of the Groups internal control system, checks its quality and related mechanisms and adapts resources, systems and procedures.</w:t>
      </w:r>
    </w:p>
    <w:p w14:paraId="14CA02A1" w14:textId="77777777" w:rsidR="003228A2" w:rsidRDefault="00000000">
      <w:r>
        <w:t>It details, runs and monitors the principles of the operational risk management policy and the principles of the compliance monitoring system.</w:t>
      </w:r>
    </w:p>
    <w:p w14:paraId="24D39263" w14:textId="77777777" w:rsidR="003228A2" w:rsidRDefault="00000000">
      <w:r>
        <w:t>The risk profile or risk appetite is implemented within the Group by the Executive Committee through the specialized committees chaired by its membersFinancial Committee, Capital and Liquidity Committee, Credit Risk Committee, Internal Control, Operational Risk and Ethics &amp; Compliance Committee, etc.</w:t>
      </w:r>
    </w:p>
    <w:p w14:paraId="63A3A6C5" w14:textId="77777777" w:rsidR="003228A2" w:rsidRDefault="00000000">
      <w:r>
        <w:t>The risk appetite framework may be adjusted at least annually and particularly during the strategic plan development process.</w:t>
      </w:r>
    </w:p>
    <w:p w14:paraId="1841C65C" w14:textId="77777777" w:rsidR="003228A2" w:rsidRDefault="00000000">
      <w:r>
        <w:t>Risk appetite is specified through two types of thresholds, A limit, the maximum level of risk that the bank is willing to assume in order to achieve its strategic objectives, in compliance with prudential and regulatory requirements, and having implemented adequate risk management and control capabilities.</w:t>
      </w:r>
    </w:p>
    <w:p w14:paraId="389B391F" w14:textId="53DE8688" w:rsidR="003228A2" w:rsidRDefault="00000000">
      <w:r>
        <w:t>In particular, the following indicators are included in the Risk Appetite Framework and are listed in the Key Figures of the section of Part I Summary of risk, the CET1 ratio and the total capital ratio the leverage ratio The liquidity coverage ratio the net stable funding ratio the cost of risk The Mobilize FS group aims to support the business development of the Renault Group as well as for the Nissan and Mitsubishi brands scar brands, in particular through its key role in financing individual and corporate customers, dealership networks and in developing customer loyalty.</w:t>
      </w:r>
    </w:p>
    <w:p w14:paraId="35EB3227" w14:textId="77777777" w:rsidR="003228A2" w:rsidRDefault="00000000">
      <w:r>
        <w:t>A particular attention to the conformity of the products and services marketed and to the quality of the information transmitted to customers, in particular by ensuring compliance with good practices related to sales and ethical issues, which may impact the Groups reputation.</w:t>
      </w:r>
    </w:p>
    <w:p w14:paraId="1AEFDE7B" w14:textId="77777777" w:rsidR="003228A2" w:rsidRDefault="00000000">
      <w:r>
        <w:t>An integration into the groups strategy of issues related to environmental and social transitions and corporate social responsibility challenges.</w:t>
      </w:r>
    </w:p>
    <w:p w14:paraId="7F36E621" w14:textId="77777777" w:rsidR="003228A2" w:rsidRDefault="00000000">
      <w:r>
        <w:t>The main risks are subject to a strict risk steering framework, in line with the risk appetite defined by the Board of Directors, Risks related to commercial deployment, a Concentration risk arises from a significant accumulation of exposures to certain categories, sectors or markets.</w:t>
      </w:r>
    </w:p>
    <w:p w14:paraId="78276AD5" w14:textId="77777777" w:rsidR="003228A2" w:rsidRDefault="00000000">
      <w:r>
        <w:t>In addition, remuneration policy is the same across the whole Mobilize FS perimeter.</w:t>
      </w:r>
    </w:p>
    <w:p w14:paraId="1B3A6E55" w14:textId="77777777" w:rsidR="003228A2" w:rsidRDefault="00000000">
      <w:r>
        <w:lastRenderedPageBreak/>
        <w:t>It is conceived as a continuous process integrated into the overall governance and ensures the adequacy of own funds regarding the risks taken by the bank, based on its internal assessment.</w:t>
      </w:r>
    </w:p>
    <w:p w14:paraId="2BA77D95" w14:textId="77777777" w:rsidR="003228A2" w:rsidRDefault="00000000">
      <w:r>
        <w:t>Economic approach Risk assessment process, based on all the risks exposures comprising the regulatory risks Pillar 1 risks, credit risks, operational risks, market risks, and other non-regulatory risks Pillar 2 risks to the bank, the capital need for which can be evaluated through internes quantitative or qualitative measures.</w:t>
      </w:r>
    </w:p>
    <w:p w14:paraId="53899AA3" w14:textId="77777777" w:rsidR="003228A2" w:rsidRDefault="00000000">
      <w:r>
        <w:t>It ensures a second level of control on Credit Risk steering and its adequacy with RCI Risk Governance Policy and RAF.</w:t>
      </w:r>
    </w:p>
    <w:p w14:paraId="60FE536D" w14:textId="77777777" w:rsidR="003228A2" w:rsidRDefault="00000000">
      <w:r>
        <w:t>It reviews the Pillar III Risk Report as of December 31, 2024 62 RISKS PILLAR III operational effectiveness of the overall governance framework, including the risk governance framework, and compliance with internal policies and processes, and suggests improvements to existing arrangements.</w:t>
      </w:r>
    </w:p>
    <w:p w14:paraId="17D3723D" w14:textId="77777777" w:rsidR="003228A2" w:rsidRDefault="00000000">
      <w:r>
        <w:t>For credit risks internal model, please refer to 5 -Advanced Method a Governance for futher details EU CRB, Additional disclosure related to the credit quality of assets Qualitative disclosures, The scope and definitions of past-due and impaired exposures used for accounting purposes and the differences, if any, between the definitions of past due and default for accounting and regulatory purposes as specified by the EBA Guidelines on the application of the definition of default in accordance with Article 178 CRR.</w:t>
      </w:r>
    </w:p>
    <w:p w14:paraId="25D24862" w14:textId="1653BB98" w:rsidR="003228A2" w:rsidRDefault="00000000">
      <w:r>
        <w:t>Agriculture, forestry and fishing Mining and quarrying Manufacturing Electricity, gas, steam and air conditioning supply Water supply Construction Wholesale and retail trade Transport and storage Accommodation and food service activities Information and communication Real estate activities Financial and insurance actvities Professional, scientific and technical activities Administrative and support service activities Public adm.</w:t>
      </w:r>
    </w:p>
    <w:p w14:paraId="0F2F9040" w14:textId="77777777" w:rsidR="003228A2" w:rsidRDefault="00000000">
      <w:r>
        <w:t>And defense, compulsory social security Education Human health services and social work activities Arts, entertainment and recreation Other services Total Accumulated impairment Accum.</w:t>
      </w:r>
    </w:p>
    <w:p w14:paraId="2EBDA704" w14:textId="77777777" w:rsidR="003228A2" w:rsidRDefault="00000000">
      <w:r>
        <w:t>The credit risk management relies on, General credit risk policies since the Banks credit activity must be carried out within this framework.</w:t>
      </w:r>
    </w:p>
    <w:p w14:paraId="3CBD0E09" w14:textId="77777777" w:rsidR="003228A2" w:rsidRDefault="00000000">
      <w:r>
        <w:t>In 2024, elements of the general credit policy for this customer base financing product procedure, default procedure, guarantee procedures, restructuring loan procedure, dealer acceptance policy were reviewed with a view to improving credit risk management and monitoring.</w:t>
      </w:r>
    </w:p>
    <w:p w14:paraId="3BD030FB" w14:textId="77777777" w:rsidR="003228A2" w:rsidRDefault="00000000">
      <w:r>
        <w:t>Following the agreement of the supervisor, the corporate portfolios excluding the network in Germany, Italy and Spain have been treated using the standard method since 2021.</w:t>
      </w:r>
    </w:p>
    <w:p w14:paraId="3CF3F27D" w14:textId="77777777" w:rsidR="003228A2" w:rsidRDefault="00000000">
      <w:r>
        <w:lastRenderedPageBreak/>
        <w:t>A Governance The internal credit risk models are part of the Risk management Governance and are managed by a Governance procedure that sets out the roles and responsibilities of each stakeholder and involved in ensuring the independence of the various levels of control.</w:t>
      </w:r>
    </w:p>
    <w:p w14:paraId="75AA6F10" w14:textId="77777777" w:rsidR="003228A2" w:rsidRDefault="00000000">
      <w:r>
        <w:t>The first level of control is carried out by the teams of the Credit &amp; Data Management division in charge of, the quality of the data from the subsidiaries modelling methodologies the development and implementation of models operational insertion of models monitoring the performance and relevance of models through backtesting and recalibration exercises.</w:t>
      </w:r>
    </w:p>
    <w:p w14:paraId="2673A7DC" w14:textId="77777777" w:rsidR="003228A2" w:rsidRDefault="00000000">
      <w:r>
        <w:t>Finally, the Internal Audit Department provides the third level of control and assesses, through periodic inspections, the efficiency and compliance of the management and governance system for internal models.</w:t>
      </w:r>
    </w:p>
    <w:p w14:paraId="3DFB5DBE" w14:textId="77777777" w:rsidR="003228A2" w:rsidRDefault="00000000">
      <w:r>
        <w:t>Elements of the performance of the rating models are also reported yearly to the Executive Committee during a dedicated presentation and to the Risk Committee of the Executive Board.</w:t>
      </w:r>
    </w:p>
    <w:p w14:paraId="6F480C0D" w14:textId="77777777" w:rsidR="003228A2" w:rsidRDefault="00000000">
      <w:r>
        <w:t>In 2012 the EMIR European Market Infrastructure Regulation regulation published a series of standards designed to improve the stability and transparency of the derivatives market.</w:t>
      </w:r>
    </w:p>
    <w:p w14:paraId="3A033A3F" w14:textId="77777777" w:rsidR="003228A2" w:rsidRDefault="00000000">
      <w:r>
        <w:t>S groups ILAAP and associated limits intend to, Ensure the bank meets its regulatory liquidity ratio with an appropriate buffer Ensure the bank funds its business with diversified sources of funding, Ensure the bank maintains liabilities with adequate duration to support its business, Ensure the bank liquidity reserve is sufficient to face various stress scenario assuming impaired access to market funding and stress deposit runoff during a certain period of time.</w:t>
      </w:r>
    </w:p>
    <w:p w14:paraId="28DE4F8A" w14:textId="77777777" w:rsidR="003228A2" w:rsidRDefault="00000000">
      <w:r>
        <w:t>ILAAP and associated limits, calibrated according to the risk appetite for liquidity risk, intend to, Ensure the bank meets its regulatory liquidity ratio with an appropriate buffer Ensure the bank funds its business with diversified sources of funding Ensure the bank maintains liabilities with adequate duration to support its business Ensure the bank liquidity reserve is sufficient to face various stress scenario market-wide and idiosyncratic assuming impaired access to market funding and stressed deposit runoff during a certain period of time.</w:t>
      </w:r>
    </w:p>
    <w:p w14:paraId="739E3400" w14:textId="77777777" w:rsidR="003228A2" w:rsidRDefault="00000000">
      <w:r>
        <w:t>This level is significantly higher than the regulatory minimum and reflects a prudent liquidity risk management policy.</w:t>
      </w:r>
    </w:p>
    <w:p w14:paraId="173DE029" w14:textId="1165B8E9" w:rsidR="003228A2" w:rsidRDefault="00000000">
      <w:r>
        <w:t>The main non-compliance risks are related to failure to protect personal data as well as, failure to adhere to, banking and financial transactionsregulations, regulations and standards in matters of law, tax andaccounting, anti-money laundering and combating the financing of terrorism laws, anti-corruption and unethical conduct laws, regulatory framework regarding bank recovery and resolution</w:t>
      </w:r>
      <w:r w:rsidR="004B4BE8">
        <w:t>.</w:t>
      </w:r>
    </w:p>
    <w:p w14:paraId="3BCD379F" w14:textId="77777777" w:rsidR="003228A2" w:rsidRDefault="00000000">
      <w:r>
        <w:t>The Group has also implemented an internal control system designed in particular to ensure the compliance of transactions made by staff and agents.</w:t>
      </w:r>
    </w:p>
    <w:p w14:paraId="4ADBA77A" w14:textId="77777777" w:rsidR="003228A2" w:rsidRDefault="00000000">
      <w:r>
        <w:lastRenderedPageBreak/>
        <w:t>Finally, the Group has also set up an internal control system designed to ensure the compliance of transactions carried out by its employees and agents.</w:t>
      </w:r>
    </w:p>
    <w:p w14:paraId="1E8B6B6E" w14:textId="6642F497" w:rsidR="003228A2" w:rsidRDefault="00000000">
      <w:r>
        <w:t xml:space="preserve">Indicators of the level of compliance with the AMLCFT risk management system are applied and monitored in all entities over which RCI Banque </w:t>
      </w:r>
      <w:r w:rsidR="005C30C0">
        <w:t>S</w:t>
      </w:r>
      <w:r>
        <w:t xml:space="preserve"> has effective control.</w:t>
      </w:r>
    </w:p>
    <w:p w14:paraId="65A52391" w14:textId="77777777" w:rsidR="003228A2" w:rsidRDefault="00000000">
      <w:r>
        <w:t>Pillar III Risk Report as of December 31, 2024 123 RISKS PILLAR III awareness-raising initiatives and training in digital security and operational resilience for all staff e-learning, communications, etc.</w:t>
      </w:r>
    </w:p>
    <w:p w14:paraId="0B524BE5" w14:textId="414734D0" w:rsidR="003228A2" w:rsidRDefault="00000000">
      <w:r>
        <w:t>Management principles and systems A Data Protection Office</w:t>
      </w:r>
      <w:r w:rsidR="004B4BE8">
        <w:t xml:space="preserve">, </w:t>
      </w:r>
      <w:r>
        <w:t xml:space="preserve">is responsible for ensuring the governance and implementation of all measures necessary to comply with these regulations, </w:t>
      </w:r>
      <w:proofErr w:type="gramStart"/>
      <w:r>
        <w:t>in order to</w:t>
      </w:r>
      <w:proofErr w:type="gramEnd"/>
      <w:r>
        <w:t xml:space="preserve"> ensure the protection of customer data, as well as that of employees throughout the group.</w:t>
      </w:r>
    </w:p>
    <w:p w14:paraId="6F3637FA" w14:textId="77777777" w:rsidR="003228A2" w:rsidRDefault="00000000">
      <w:r>
        <w:t>ESG risks are factors that can increase certain traditional categories of risks, especially, credit and counterparty risks, residual value risks, liquidity risks, strategic risks, operational risks and non-compliance risks.</w:t>
      </w:r>
    </w:p>
    <w:p w14:paraId="0E0E5CF9" w14:textId="77777777" w:rsidR="003228A2" w:rsidRDefault="00000000">
      <w:r>
        <w:t>The materiality analysis and the quantitative studies lead to the following observations, The impact on strategic objectives is potentially strong in view of the very high stakes for car manufacturers who must respond to rapidly changing regulations, in particular on the level of vehicle emissions while facing an infrastructure environment under construction and the entry of new players.</w:t>
      </w:r>
    </w:p>
    <w:p w14:paraId="58116631" w14:textId="77777777" w:rsidR="003228A2" w:rsidRDefault="00000000">
      <w:r>
        <w:t>The governance of climate and environmental risks is based on an organization dedicated, The Risk Management Division, with a Climate and Environmental Risks department, develops a global vision of these risks and their impact on the group's various risks, strategic, financial or operational.</w:t>
      </w:r>
    </w:p>
    <w:p w14:paraId="2E8A464F" w14:textId="77777777" w:rsidR="003228A2" w:rsidRDefault="00000000">
      <w:r>
        <w:t>Since 2021, the governance of climate and environmental risks has been based on a dedicated Committee bringing together all the Group's Divisions.</w:t>
      </w:r>
    </w:p>
    <w:p w14:paraId="09B81CBE" w14:textId="77777777" w:rsidR="003228A2" w:rsidRDefault="00000000">
      <w:r>
        <w:t>The Board of Directors validates the sustainability strategy and the roadmap of GHG emissions reduction.</w:t>
      </w:r>
    </w:p>
    <w:p w14:paraId="0A4C7BDA" w14:textId="77777777" w:rsidR="003228A2" w:rsidRDefault="00000000">
      <w:r>
        <w:t>Group has a solid governance in the consideration of ethical rules and compliance through anti-money laundering, conflict of interest management, professional whistleblowing devices.</w:t>
      </w:r>
    </w:p>
    <w:p w14:paraId="33381F81" w14:textId="77777777" w:rsidR="003228A2" w:rsidRDefault="00000000">
      <w:r>
        <w:t>The prevention of internal social risks is also the subject of a dedicated device led by the Group Human Resources Department with the support of the Sustainability team.</w:t>
      </w:r>
    </w:p>
    <w:p w14:paraId="03B9B6E7" w14:textId="4FEFEC2A" w:rsidR="003228A2" w:rsidRDefault="00000000">
      <w:r>
        <w:t>The integration of ESG risks into Mobilize FS group strategy, governance and risk management is detailed in the tables below.</w:t>
      </w:r>
    </w:p>
    <w:p w14:paraId="539FE5F1" w14:textId="577B629B" w:rsidR="003228A2" w:rsidRDefault="00000000">
      <w:r>
        <w:lastRenderedPageBreak/>
        <w:t>Regarding its refinancing strategy, the Mobilize F</w:t>
      </w:r>
      <w:r w:rsidR="00237D3D">
        <w:t xml:space="preserve"> </w:t>
      </w:r>
      <w:r>
        <w:t>Group diversifies its sources of liquidity with green bonds and green deposits backed by the financing of electrified vehicles, ensuring transparency of information to attract new investors.</w:t>
      </w:r>
    </w:p>
    <w:p w14:paraId="4F0EC2CD" w14:textId="592394FD" w:rsidR="003228A2" w:rsidRDefault="00000000">
      <w:r>
        <w:t>Discussions take place with Renault Group teams during dedicated committees in which the Mobilize F</w:t>
      </w:r>
      <w:r w:rsidR="009A7F66">
        <w:t xml:space="preserve"> </w:t>
      </w:r>
      <w:r>
        <w:t>Group participates, allowing better anticipation of the effects of regulatory changes or to accompany them.</w:t>
      </w:r>
    </w:p>
    <w:p w14:paraId="04542438" w14:textId="77777777" w:rsidR="003228A2" w:rsidRDefault="00000000">
      <w:r>
        <w:t>These developments represent a significant strategic issue for the activities of the Mobilize F.</w:t>
      </w:r>
    </w:p>
    <w:p w14:paraId="2AFE217B" w14:textId="77777777" w:rsidR="003228A2" w:rsidRDefault="00000000">
      <w:r>
        <w:t>The results observed on the group's own emissions Scope 1, Scope 2, and upstream Scope 3 allowed us to define an action plan contributing to the achievement of carbon neutrality targets.</w:t>
      </w:r>
    </w:p>
    <w:p w14:paraId="72573ACE" w14:textId="77777777" w:rsidR="003228A2" w:rsidRDefault="00000000">
      <w:r>
        <w:t>Finally, a responsible purchasing charter has been established, integrating climate and environmental themes.</w:t>
      </w:r>
    </w:p>
    <w:p w14:paraId="6E52EACB" w14:textId="7C4A6E31" w:rsidR="003228A2" w:rsidRDefault="00000000">
      <w:r>
        <w:t>By signing the charter, Mobilize F</w:t>
      </w:r>
      <w:r w:rsidR="009A7F66">
        <w:t xml:space="preserve"> </w:t>
      </w:r>
      <w:r>
        <w:t>Group suppliers commit to complying with environmental protection regulations, offering effective solutions for the environment whenever possible, applying the best environmental practices of their profession, optimizing resource consumption, and striving to reduce pollution generated by their activities.</w:t>
      </w:r>
    </w:p>
    <w:p w14:paraId="7E065A17" w14:textId="77777777" w:rsidR="003228A2" w:rsidRDefault="00000000">
      <w:r>
        <w:t>This sector exposure score is based on an ESG study by a rating agency, using 5 categories rated from low to very high, Carbon transition Physical climate risks Water resource management Waste and pollution Natural capital environmental impacts This assessment leads to two scores, one for the transition risk and the other for the physical risks.</w:t>
      </w:r>
    </w:p>
    <w:p w14:paraId="2876AAB8" w14:textId="33B14909" w:rsidR="003228A2" w:rsidRDefault="00000000">
      <w:r>
        <w:t>Regarding the general governance framework of the Mobilize F</w:t>
      </w:r>
      <w:r w:rsidR="009A7F66">
        <w:t xml:space="preserve"> </w:t>
      </w:r>
      <w:r>
        <w:t xml:space="preserve">Group, </w:t>
      </w:r>
      <w:r w:rsidR="009A7F66">
        <w:t>t</w:t>
      </w:r>
      <w:r>
        <w:t>he Risk Management Department is responsible for identifying, measuring, and managing C&amp;E risks affecting its business model.</w:t>
      </w:r>
    </w:p>
    <w:p w14:paraId="6B80137B" w14:textId="77777777" w:rsidR="003228A2" w:rsidRDefault="00000000">
      <w:r>
        <w:t>Regarding the operational management of C&amp;E projects, responsibilities are shared among several departments or divisions, Risk, Sustainability, Marketing, Internal Control, and Credit are frequently involved.</w:t>
      </w:r>
    </w:p>
    <w:p w14:paraId="2B785031" w14:textId="77777777" w:rsidR="003228A2" w:rsidRDefault="00000000">
      <w:r>
        <w:t>The C&amp;E risk steering committee, which includes all members of the Executive Committee, is systematically informed of the progress of action plans related to C&amp;E risks, ensures compliance with risk indicators, and ensures the integration of C&amp;E risks into operational processes.</w:t>
      </w:r>
    </w:p>
    <w:p w14:paraId="41A9410A" w14:textId="77777777" w:rsidR="003228A2" w:rsidRDefault="00000000">
      <w:r>
        <w:t>In 2024, the Risk Committee of the Board of Directors approved minor modifications to the thresholds of the risk appetite framework.</w:t>
      </w:r>
    </w:p>
    <w:p w14:paraId="1531034A" w14:textId="77777777" w:rsidR="003228A2" w:rsidRDefault="00000000">
      <w:r>
        <w:t>A trajectory for reducing financed emissions downstream Scope 3 by 2030, including intermediate targets, was approved by the Board of Directors in 2023.</w:t>
      </w:r>
    </w:p>
    <w:p w14:paraId="1457DB84" w14:textId="77777777" w:rsidR="003228A2" w:rsidRDefault="00000000">
      <w:r>
        <w:lastRenderedPageBreak/>
        <w:t>In 2024, 122 employees were made aware of climates issues trough the climate fresk, Lines of reporting and frequency of reporting relating to environmental risk The four RAF indicators are integrated into the Risk Dashboard and presented quarterly to the Risk Committee of the Board of Directors.</w:t>
      </w:r>
    </w:p>
    <w:p w14:paraId="098D222F" w14:textId="77777777" w:rsidR="003228A2" w:rsidRDefault="00000000">
      <w:r>
        <w:t>Group has developed an ESG dashboard for internal reporting purposes, containing several ESG KPIs.</w:t>
      </w:r>
    </w:p>
    <w:p w14:paraId="066526A4" w14:textId="7C5D80B9" w:rsidR="003228A2" w:rsidRDefault="00000000">
      <w:r>
        <w:t>Finally, the group has also developed its own methodologies, listed below and presented in more detail in question, A qualitative risk analysis, A Quantitative analyses, B B bis G Sensitivity analyses, for example on credit risks, A sectoral C&amp;E risk score according to an internal methodology, based on sectoral studies, D, Processes to identify, measure and monitor activities and exposures and collateral where applicable sensitive to environmental risks, covering relevant transmission channels The group conducted a materiality analysis of climate risks across all banking risks A by interviewing risk managers.</w:t>
      </w:r>
    </w:p>
    <w:p w14:paraId="71881294" w14:textId="77777777" w:rsidR="003228A2" w:rsidRDefault="00000000">
      <w:r>
        <w:t>These complementary studies helped to support the qualitative materiality analysis, identify, and more precisely measure the different activities and portfolios exposed to physical and transition climate risks.</w:t>
      </w:r>
    </w:p>
    <w:p w14:paraId="3596C48D" w14:textId="13F72120" w:rsidR="003228A2" w:rsidRDefault="00000000">
      <w:r>
        <w:t>Additionally, the Mobilize F</w:t>
      </w:r>
      <w:r w:rsidR="001B5DF6">
        <w:t xml:space="preserve"> </w:t>
      </w:r>
      <w:r>
        <w:t>Group has integrated the consideration of the environmental policies of analyzed companies and the ESG ratings from Sustainalytics into its acceptance policy for corporate clients in the KYC process.</w:t>
      </w:r>
    </w:p>
    <w:p w14:paraId="73FF1E0D" w14:textId="77777777" w:rsidR="003228A2" w:rsidRDefault="00000000">
      <w:r>
        <w:t>Regarding market risks, limited to the management of the liquidity reserve, a sensitivity study was conducted by setting a stress equivalent to a climate or environmental crisis applied to corporate and sovereign issuers held at the end of the year F.</w:t>
      </w:r>
    </w:p>
    <w:p w14:paraId="1D30C7D8" w14:textId="77777777" w:rsidR="003228A2" w:rsidRDefault="00000000">
      <w:r>
        <w:t>Group has implemented the monitoring of the C&amp;E rating of corporate issuers based on external data with non-binding objectives for the purchase of issuer securities.</w:t>
      </w:r>
    </w:p>
    <w:p w14:paraId="147568C2" w14:textId="2C25B1B8" w:rsidR="003228A2" w:rsidRDefault="00000000">
      <w:r>
        <w:t>Regarding strategic risks, the Mobilize F</w:t>
      </w:r>
      <w:r w:rsidR="00FB6A4F">
        <w:t xml:space="preserve"> </w:t>
      </w:r>
      <w:r>
        <w:t>Group conducted a study on the impact of low emission zones G, focusing on the group's five main countries of operation in Europe.</w:t>
      </w:r>
    </w:p>
    <w:p w14:paraId="04A94343" w14:textId="1DFC2A6F" w:rsidR="003228A2" w:rsidRDefault="00000000">
      <w:r>
        <w:t>As part of the Third Party Integrity Management process, particularly for corporate clients, partners, and suppliers, the Mobilize F</w:t>
      </w:r>
      <w:r w:rsidR="00FB6A4F">
        <w:t xml:space="preserve"> </w:t>
      </w:r>
      <w:r>
        <w:t>Group uses an external Pillar III Risk Report as of December 31, 2024 134 RISKS PILLAR III compliance analysis tool Moody's Compliance Catalyst solution, providing access to LexisNexis and Orbis databases on</w:t>
      </w:r>
      <w:r w:rsidR="004B4BE8">
        <w:t xml:space="preserve">,  </w:t>
      </w:r>
      <w:r>
        <w:t>any environmental convictions of the counterparty and, negative media reports that may cover environmental issues.</w:t>
      </w:r>
    </w:p>
    <w:p w14:paraId="6C86151D" w14:textId="5C7039A2" w:rsidR="003228A2" w:rsidRDefault="00000000">
      <w:r>
        <w:t xml:space="preserve">G The group carried out a business strategy study on the impact of Low Emission Zones on its 5 main countries of activities in Europe according to 3 scenarios by </w:t>
      </w:r>
      <w:proofErr w:type="gramStart"/>
      <w:r>
        <w:t>2030</w:t>
      </w:r>
      <w:r w:rsidR="004B4BE8">
        <w:t xml:space="preserve">,  </w:t>
      </w:r>
      <w:r>
        <w:t>Business</w:t>
      </w:r>
      <w:proofErr w:type="gramEnd"/>
      <w:r>
        <w:t xml:space="preserve"> as Usual with implementation of LEZ according to announced schedules.</w:t>
      </w:r>
    </w:p>
    <w:p w14:paraId="6EE4E714" w14:textId="31769CBE" w:rsidR="003228A2" w:rsidRDefault="00000000">
      <w:r>
        <w:t xml:space="preserve">Thus, the RAF of C&amp;E risks has been defined according to the business model defined appropriately accordingly to guide its commercial activity and better manage its C&amp;E risks, </w:t>
      </w:r>
      <w:r>
        <w:lastRenderedPageBreak/>
        <w:t>and provides alert thresholds when</w:t>
      </w:r>
      <w:r w:rsidR="004B4BE8">
        <w:t xml:space="preserve">,  </w:t>
      </w:r>
      <w:r>
        <w:t>the support for sales of electric vehicles is lower than the rest of the range</w:t>
      </w:r>
      <w:r w:rsidR="004B4BE8">
        <w:t xml:space="preserve">, </w:t>
      </w:r>
      <w:r>
        <w:t xml:space="preserve"> the average financed emissions of the vehicles in the portfolio are not falling at a rate consistent with Net Zero 2050 objective.</w:t>
      </w:r>
    </w:p>
    <w:p w14:paraId="5E81D988" w14:textId="77777777" w:rsidR="003228A2" w:rsidRDefault="00000000">
      <w:r>
        <w:t>Qualitative information on Social risk in accordance with Article 449a CRR Business strategy and processes, Adjustment of the institution's business strategy to integrate social factors and risks taking into account the impact of social risk on the institution's business environment, business model, strategy and financial planning The integration of social risks into financing and investment activities is realized through Mobilize F.</w:t>
      </w:r>
    </w:p>
    <w:p w14:paraId="36832C92" w14:textId="77777777" w:rsidR="003228A2" w:rsidRDefault="00000000">
      <w:r>
        <w:t>Group's Third-party Integrity Management anti-corruption process, including the consideration of possible convictions of counterparties on social grounds, as well as the counterparty's reputation, which may be impacted by media events on social topics.</w:t>
      </w:r>
    </w:p>
    <w:p w14:paraId="0209317B" w14:textId="6657C660" w:rsidR="003228A2" w:rsidRDefault="00000000">
      <w:r>
        <w:t>In terms of internal social practices, Mobilize F</w:t>
      </w:r>
      <w:r w:rsidR="00383391">
        <w:t xml:space="preserve"> </w:t>
      </w:r>
      <w:r>
        <w:t>Group deploys 2 areas of intervention Mobilize F</w:t>
      </w:r>
      <w:r w:rsidR="00383391">
        <w:t xml:space="preserve"> </w:t>
      </w:r>
      <w:r>
        <w:t xml:space="preserve">Group resources are its own </w:t>
      </w:r>
      <w:proofErr w:type="gramStart"/>
      <w:r>
        <w:t>employees</w:t>
      </w:r>
      <w:r w:rsidR="004B4BE8">
        <w:t xml:space="preserve">,  </w:t>
      </w:r>
      <w:r>
        <w:t>Diversity</w:t>
      </w:r>
      <w:proofErr w:type="gramEnd"/>
      <w:r>
        <w:t xml:space="preserve"> &amp; Inclusion, Gender equality has been particularly developed through several ongoing complementary </w:t>
      </w:r>
      <w:proofErr w:type="gramStart"/>
      <w:r>
        <w:t>programs</w:t>
      </w:r>
      <w:r w:rsidR="004B4BE8">
        <w:t xml:space="preserve">,  </w:t>
      </w:r>
      <w:r>
        <w:t>Zero</w:t>
      </w:r>
      <w:proofErr w:type="gramEnd"/>
      <w:r>
        <w:t xml:space="preserve"> discrimination</w:t>
      </w:r>
      <w:r w:rsidR="00992235">
        <w:t xml:space="preserve"> </w:t>
      </w:r>
      <w:r>
        <w:t>0% gender pay gap in 2025 with Renault Group, where we have achieved 0.</w:t>
      </w:r>
    </w:p>
    <w:p w14:paraId="35BBEC9D" w14:textId="77777777" w:rsidR="003228A2" w:rsidRDefault="00000000">
      <w:r>
        <w:t>The main focus of actions are on the Gender Equality for several years since 2023 we began to put a new focus on Disability topics.</w:t>
      </w:r>
    </w:p>
    <w:p w14:paraId="05710DF8" w14:textId="77777777" w:rsidR="003228A2" w:rsidRDefault="00000000">
      <w:r>
        <w:t>As a first action, implementation of internal disability declaration process has been taken, followed by deployment of dedicated indicators to track the progress of the policy and to track the data, in which Mobilize F.</w:t>
      </w:r>
    </w:p>
    <w:p w14:paraId="5D319FC9" w14:textId="77777777" w:rsidR="003228A2" w:rsidRDefault="00000000">
      <w:r>
        <w:t>France is leading the way Training of HRBPs, Appointment of Disability correspondents in each worksite, Awareness raising events, E-learnings, Strong internal communications.</w:t>
      </w:r>
    </w:p>
    <w:p w14:paraId="53CBC0CE" w14:textId="77777777" w:rsidR="003228A2" w:rsidRDefault="00000000">
      <w:r>
        <w:t>In additional OneHealth programme for the employees global health care has been collectively introduced with Renault Group, which aims to give everyone access to the same tools, wherever they are in the world It is based around a number of key missions, to provide high-quality health cover, to offer professional medical check-ups and monitoring, to encourage everyone to take action for their own health and to provide support in the most complex personal situations.</w:t>
      </w:r>
    </w:p>
    <w:p w14:paraId="6DC7C564" w14:textId="641E3CD8" w:rsidR="003228A2" w:rsidRDefault="00000000">
      <w:r>
        <w:t>Regarding its internal social strategy, Mobilize F</w:t>
      </w:r>
      <w:r w:rsidR="001642B0">
        <w:t xml:space="preserve"> </w:t>
      </w:r>
      <w:r>
        <w:t xml:space="preserve">Group has set itself several objectives and monitors them with defined </w:t>
      </w:r>
      <w:proofErr w:type="gramStart"/>
      <w:r>
        <w:t>indicators</w:t>
      </w:r>
      <w:r w:rsidR="004B4BE8">
        <w:t xml:space="preserve">,  </w:t>
      </w:r>
      <w:r>
        <w:t>Diversity</w:t>
      </w:r>
      <w:proofErr w:type="gramEnd"/>
      <w:r>
        <w:t xml:space="preserve"> &amp; Inclusion, Mobilize F.</w:t>
      </w:r>
    </w:p>
    <w:p w14:paraId="23EC7448" w14:textId="77777777" w:rsidR="003228A2" w:rsidRDefault="00000000">
      <w:r>
        <w:t>Has set itself 2 long-term objectives, 0% gender pay gap in 2025 where we have well achieved 0.</w:t>
      </w:r>
    </w:p>
    <w:p w14:paraId="4135B7A9" w14:textId="77777777" w:rsidR="003228A2" w:rsidRDefault="00000000">
      <w:r>
        <w:t>In the corporate acceptance process, analysts consider the social risks of counterparties through external ESG ratings as well as the policies implemented and the social objectives highlighted by the counterparties.</w:t>
      </w:r>
    </w:p>
    <w:p w14:paraId="44D3AF80" w14:textId="77777777" w:rsidR="003228A2" w:rsidRDefault="00000000">
      <w:r>
        <w:lastRenderedPageBreak/>
        <w:t>The presented files include an analysis related to ESG criteria, including the social policies and objectives of the counterparties.</w:t>
      </w:r>
    </w:p>
    <w:p w14:paraId="1CAA0F61" w14:textId="77777777" w:rsidR="003228A2" w:rsidRDefault="00000000">
      <w:r>
        <w:t>This system, maintained and managed by the Group Compliance Department, complies with the provisions of the Sapin 2 law and the Waserman law.</w:t>
      </w:r>
    </w:p>
    <w:p w14:paraId="431CC871" w14:textId="77777777" w:rsidR="003228A2" w:rsidRDefault="00000000">
      <w:r>
        <w:t>The ESG dashboard, deployed in 2023 and revised in 2024, includes indicators related to internal social risks covering the following themes, proportion of women among managers and gender pay gap, Alignment of the remuneration policy in line with institution's social risk-related objectives Mobilize F.</w:t>
      </w:r>
    </w:p>
    <w:p w14:paraId="4242667A" w14:textId="77777777" w:rsidR="003228A2" w:rsidRDefault="00000000">
      <w:r>
        <w:t>Group remuneration does not depend on elements relating to social risks.</w:t>
      </w:r>
    </w:p>
    <w:p w14:paraId="08621E7B" w14:textId="77777777" w:rsidR="003228A2" w:rsidRDefault="00000000">
      <w:r>
        <w:t>Group adopts a structured approach to incorporate social criteria in the corporate credit granting process.</w:t>
      </w:r>
    </w:p>
    <w:p w14:paraId="37380517" w14:textId="77777777" w:rsidR="003228A2" w:rsidRDefault="00000000">
      <w:r>
        <w:t>This rating, which includes a detailed assessment of social criteria, measures the social performance of counterparties by considering their practices in terms of working conditions and respect for human Pillar III Risk Report as of December 31, 2024 141 RISKS PILLAR III rights, diversity, inclusion, and equal opportunities, as well as the social impact of their activities on society and their stakeholders.</w:t>
      </w:r>
    </w:p>
    <w:p w14:paraId="7B2803DE" w14:textId="66AD9087" w:rsidR="003228A2" w:rsidRDefault="00000000">
      <w:r>
        <w:t xml:space="preserve">The ESG strategy is based on internationally recognized principles and frameworks, including, The United Nations Sustainable Development Goals SDGs, The United Nations Guiding Principles on Business and Human Rights, </w:t>
      </w:r>
      <w:r w:rsidR="004B4BE8">
        <w:t>the</w:t>
      </w:r>
      <w:r>
        <w:t xml:space="preserve"> standards established by the International </w:t>
      </w:r>
      <w:proofErr w:type="spellStart"/>
      <w:r>
        <w:t>Labour</w:t>
      </w:r>
      <w:proofErr w:type="spellEnd"/>
      <w:r>
        <w:t xml:space="preserve"> Organization</w:t>
      </w:r>
      <w:r w:rsidR="004B4BE8">
        <w:t>.</w:t>
      </w:r>
    </w:p>
    <w:p w14:paraId="4929448C" w14:textId="77777777" w:rsidR="003228A2" w:rsidRDefault="00000000">
      <w:r>
        <w:t>Group remains attentive to developments in international and European frameworks to continuously improve its social risk management framework.</w:t>
      </w:r>
    </w:p>
    <w:p w14:paraId="4F379416" w14:textId="77777777" w:rsidR="003228A2" w:rsidRDefault="00000000">
      <w:r>
        <w:t>Group adopts a structured approach to integrate social criteria into its credit granting process.</w:t>
      </w:r>
    </w:p>
    <w:p w14:paraId="2238F90B" w14:textId="77777777" w:rsidR="003228A2" w:rsidRDefault="00000000">
      <w:r>
        <w:t>The evaluation considers their practices in terms of respect for working conditions and human rights, promotion of diversity, inclusion, and equal opportunities, as well as the social impact of their activities on society and their stakeholders.</w:t>
      </w:r>
    </w:p>
    <w:p w14:paraId="49E75DEB" w14:textId="51415865" w:rsidR="003228A2" w:rsidRDefault="00000000">
      <w:r>
        <w:t>See response, for more details on the actions taken, Implementation of tools for identification and management of social risk The Mobilize F</w:t>
      </w:r>
      <w:r w:rsidR="00BB52F1">
        <w:t xml:space="preserve"> </w:t>
      </w:r>
      <w:r>
        <w:t>Group uses the ESG rating as the main tool to evaluate and monitor social risks related to its counterparties within the corporate counterparty acceptance process.</w:t>
      </w:r>
    </w:p>
    <w:p w14:paraId="4C0ACDEC" w14:textId="77777777" w:rsidR="003228A2" w:rsidRDefault="00000000">
      <w:r>
        <w:t>This rating system, established by an independent extra-financial rating agency, helps identify counterparties with inadequate social practices.</w:t>
      </w:r>
    </w:p>
    <w:p w14:paraId="558AB07F" w14:textId="77777777" w:rsidR="003228A2" w:rsidRDefault="00000000">
      <w:r>
        <w:t>Counterparties with insufficient ESG ratings are subject to additional analyses of their social policies and objectives.</w:t>
      </w:r>
    </w:p>
    <w:p w14:paraId="127C4D67" w14:textId="27A6B7A4" w:rsidR="003228A2" w:rsidRDefault="00000000">
      <w:r>
        <w:lastRenderedPageBreak/>
        <w:t>The committees, Steering of the Compliance risks within Mobilize F</w:t>
      </w:r>
      <w:r w:rsidR="00714ECC">
        <w:t xml:space="preserve"> </w:t>
      </w:r>
      <w:r>
        <w:t>Group is monitored by the following bodies, The Ethics, Compliance and Internal Control Committee at the Group level, attended by all members of the Executive Committee of RCIBS, defines and validates the Group policy in Compliance matters, examines group projects relating to Compliance and supervises any observed shortfalls and the corresponding remedial plans.</w:t>
      </w:r>
    </w:p>
    <w:p w14:paraId="60D8C457" w14:textId="5AC3DF51" w:rsidR="003228A2" w:rsidRDefault="00000000">
      <w:r>
        <w:t xml:space="preserve">Pillar III Risk Report as of December 31, </w:t>
      </w:r>
      <w:proofErr w:type="gramStart"/>
      <w:r>
        <w:t>2024</w:t>
      </w:r>
      <w:proofErr w:type="gramEnd"/>
      <w:r>
        <w:t xml:space="preserve"> 143 RISKS PILLAR III The Risks Committee of the Board of Directors supervises critical non-compliance risks of Mobilize F</w:t>
      </w:r>
      <w:r w:rsidR="00F120BC">
        <w:t xml:space="preserve"> </w:t>
      </w:r>
      <w:r>
        <w:t>Group, such as the risk of money laundering and the financing of terrorism, the personal data protection risk, the customer protection risk, and risks associated with prudential regulations in banking matters.</w:t>
      </w:r>
    </w:p>
    <w:p w14:paraId="76F11E2F" w14:textId="77777777" w:rsidR="003228A2" w:rsidRDefault="00000000">
      <w:r>
        <w:t>The professional alert processing committee is chaired by the Group Compliance Director and has the main missions of processing and instructing professional alerts, establishing facts, evaluating damages suffered and the responsibility of actors, recommending corrective actions internally or externally, ensuring the implementation of any sanctions decided, acting in strict compliance with confidentiality obligations in the processing of files and the protection of whistleblowers in line with applicable regulations, validating the closure of alerts in the system.</w:t>
      </w:r>
    </w:p>
    <w:p w14:paraId="1B1FF673" w14:textId="77777777" w:rsidR="003228A2" w:rsidRDefault="00000000">
      <w:r>
        <w:t>New productproduct committee analyzes compliance risks upstream of the launch of each new product, project, activity or process, in order to define an adequate device in compliance with regulatory expectations.</w:t>
      </w:r>
    </w:p>
    <w:p w14:paraId="343E598B" w14:textId="77777777" w:rsidR="003228A2" w:rsidRDefault="00000000">
      <w:r>
        <w:t>The acceptance process also considers the inclusivity policies of counterparties by analyzing their policies aimed at promoting diversity and inclusion, efforts to foster equal opportunities, and ensuring fair and inclusive governance.</w:t>
      </w:r>
    </w:p>
    <w:p w14:paraId="676307FA" w14:textId="5CD7DC04" w:rsidR="003228A2" w:rsidRDefault="00000000">
      <w:r>
        <w:t>The internal targets announced by the Mobilize F</w:t>
      </w:r>
      <w:r w:rsidR="00EB6BD6">
        <w:t xml:space="preserve"> </w:t>
      </w:r>
      <w:r>
        <w:t>Group, in line with Renault Group's objectives, aim to achieve carbon neutrality by 2050 globally and in Europe.</w:t>
      </w:r>
    </w:p>
    <w:p w14:paraId="5D35E71F" w14:textId="77777777" w:rsidR="003228A2" w:rsidRDefault="00000000">
      <w:r>
        <w:t>The EU Taxonomy provides companies, investors, and policymakers with appropriate definitions of economic activities that can be considered environmentally sustainable.</w:t>
      </w:r>
    </w:p>
    <w:p w14:paraId="77F08047" w14:textId="77777777" w:rsidR="003228A2" w:rsidRDefault="00000000">
      <w:r>
        <w:t>Within this scope, activities are considered aligned if they make a substantial contribution to the considered objective, do not cause significant harm Do Not Significantly Harm or DNSH to other environmental objectives, and comply with minimum safeguards.</w:t>
      </w:r>
    </w:p>
    <w:p w14:paraId="607612D6" w14:textId="77777777" w:rsidR="003228A2" w:rsidRDefault="00000000">
      <w:r>
        <w:t>For clarity in reading the taxonomy templates, climate and environmental objectives that should appear as zero are not illustrated.</w:t>
      </w:r>
    </w:p>
    <w:p w14:paraId="2CBD7CED" w14:textId="49C58250" w:rsidR="003228A2" w:rsidRDefault="00000000">
      <w:r>
        <w:t>Transition to a Circular Economy Renault Group's circular economy policy covers DNSH criteria related to, the reuse and use of secondary raw materials and reused components in manufactured products design for high durability, recyclability, ease of disassembly, and adaptability of manufactured products</w:t>
      </w:r>
      <w:r w:rsidR="001A5A21">
        <w:t xml:space="preserve"> </w:t>
      </w:r>
      <w:r>
        <w:t xml:space="preserve">waste management that prioritizes recycling over </w:t>
      </w:r>
      <w:r>
        <w:lastRenderedPageBreak/>
        <w:t xml:space="preserve">disposal in the manufacturing process, </w:t>
      </w:r>
      <w:r w:rsidR="00582AE9">
        <w:t>and</w:t>
      </w:r>
      <w:r>
        <w:t xml:space="preserve"> substances of concern are identified and tracked throughout the lifecycle.</w:t>
      </w:r>
    </w:p>
    <w:p w14:paraId="7C6E5A20" w14:textId="77777777" w:rsidR="003228A2" w:rsidRDefault="00000000">
      <w:r>
        <w:t>As the taxonomy requirements go beyond regulatory compliance on this criterion, an additional analysis was conducted and demonstrated that most tire references originally fitted on low-emission vehicles meet this criterion, leading us to adopt an alignment coefficient of 1 for this DNSH.</w:t>
      </w:r>
    </w:p>
    <w:p w14:paraId="30846926" w14:textId="77777777" w:rsidR="003228A2" w:rsidRDefault="00000000">
      <w:r>
        <w:t>The tax department of Mobilize Financial Services Group ensures compliance with applicable tax rules in all countries where it operates, in accordance with international conventions and local laws, through an appropriate management system.</w:t>
      </w:r>
    </w:p>
    <w:p w14:paraId="6005925F" w14:textId="1919B553" w:rsidR="003228A2" w:rsidRDefault="00000000">
      <w:r>
        <w:t>Model 10 Other climate change mitigation measures not covered by Regulation 2020852 is not published because the Mobilize F</w:t>
      </w:r>
      <w:r w:rsidR="001A5A21">
        <w:t xml:space="preserve"> </w:t>
      </w:r>
      <w:r>
        <w:t>Group does not hold any obligations that could be assessed as green or sustainable in its assets.</w:t>
      </w:r>
    </w:p>
    <w:p w14:paraId="50CD42AB" w14:textId="77777777" w:rsidR="003228A2" w:rsidRDefault="00000000">
      <w:r>
        <w:t>These risks are managed, followed and steered in Solvency II regulatory framework.</w:t>
      </w:r>
    </w:p>
    <w:sectPr w:rsidR="003228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351228885">
    <w:abstractNumId w:val="8"/>
  </w:num>
  <w:num w:numId="2" w16cid:durableId="478350291">
    <w:abstractNumId w:val="6"/>
  </w:num>
  <w:num w:numId="3" w16cid:durableId="323821461">
    <w:abstractNumId w:val="5"/>
  </w:num>
  <w:num w:numId="4" w16cid:durableId="639654546">
    <w:abstractNumId w:val="4"/>
  </w:num>
  <w:num w:numId="5" w16cid:durableId="530336871">
    <w:abstractNumId w:val="7"/>
  </w:num>
  <w:num w:numId="6" w16cid:durableId="177038587">
    <w:abstractNumId w:val="3"/>
  </w:num>
  <w:num w:numId="7" w16cid:durableId="2123255549">
    <w:abstractNumId w:val="2"/>
  </w:num>
  <w:num w:numId="8" w16cid:durableId="462043543">
    <w:abstractNumId w:val="1"/>
  </w:num>
  <w:num w:numId="9" w16cid:durableId="1598060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900"/>
    <w:rsid w:val="0010207D"/>
    <w:rsid w:val="00135E56"/>
    <w:rsid w:val="0015074B"/>
    <w:rsid w:val="001642B0"/>
    <w:rsid w:val="001A5A21"/>
    <w:rsid w:val="001B5DF6"/>
    <w:rsid w:val="00237D3D"/>
    <w:rsid w:val="002675BD"/>
    <w:rsid w:val="0029639D"/>
    <w:rsid w:val="003228A2"/>
    <w:rsid w:val="00326F90"/>
    <w:rsid w:val="00383391"/>
    <w:rsid w:val="004B4BE8"/>
    <w:rsid w:val="005235FB"/>
    <w:rsid w:val="00582AE9"/>
    <w:rsid w:val="005B33DE"/>
    <w:rsid w:val="005C30C0"/>
    <w:rsid w:val="00672963"/>
    <w:rsid w:val="00714ECC"/>
    <w:rsid w:val="00992235"/>
    <w:rsid w:val="009A7F66"/>
    <w:rsid w:val="009B4231"/>
    <w:rsid w:val="00AA1D8D"/>
    <w:rsid w:val="00B072DD"/>
    <w:rsid w:val="00B47730"/>
    <w:rsid w:val="00BB52F1"/>
    <w:rsid w:val="00CB0664"/>
    <w:rsid w:val="00DF7AF6"/>
    <w:rsid w:val="00E66DB0"/>
    <w:rsid w:val="00E749BF"/>
    <w:rsid w:val="00EB6BD6"/>
    <w:rsid w:val="00F120BC"/>
    <w:rsid w:val="00F7220A"/>
    <w:rsid w:val="00FB6A4F"/>
    <w:rsid w:val="00FC693F"/>
    <w:rsid w:val="00FE40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D41D0C"/>
  <w14:defaultImageDpi w14:val="300"/>
  <w15:docId w15:val="{E95D59C8-535C-6B47-8D5B-09C3A51B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Pages>
  <Words>5002</Words>
  <Characters>28518</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28</cp:revision>
  <dcterms:created xsi:type="dcterms:W3CDTF">2013-12-23T23:15:00Z</dcterms:created>
  <dcterms:modified xsi:type="dcterms:W3CDTF">2025-08-12T13:48:00Z</dcterms:modified>
  <cp:category/>
</cp:coreProperties>
</file>