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951C" w14:textId="61581C3D" w:rsidR="000848FA" w:rsidRDefault="00000000">
      <w:r>
        <w:t>Despite geopolitical tensions and persistent macroeconomic uncertainties, our strategic positioning as a public development bank offers us great opportunities for 2024 and the coming years, as part of our commitment to the climate transition, while continuing to ensure excellent control of all our risks.</w:t>
      </w:r>
    </w:p>
    <w:p w14:paraId="5D201EB3" w14:textId="77777777" w:rsidR="000848FA" w:rsidRDefault="00000000">
      <w:r>
        <w:t>In addition, also over the 2024-2030 period, in order to also support our customers on the societal challenges they are faced with, EUR 12 billion will be dedicated to the ﬁnancing of public hospitals and the social investments of French local authorities.</w:t>
      </w:r>
    </w:p>
    <w:p w14:paraId="34469677" w14:textId="77777777" w:rsidR="000848FA" w:rsidRDefault="00000000">
      <w:r>
        <w:t>The objective of public development banks is not to maximize their profit or market share, but to carry out public policy missions entrusted to them by the public authorities State, region or local authorities in order to compensate for identified market failures while ensuring their own viability.</w:t>
      </w:r>
    </w:p>
    <w:p w14:paraId="13071A1E" w14:textId="77777777" w:rsidR="000848FA" w:rsidRDefault="00000000">
      <w:r>
        <w:t>This commitment has resulted in developing ranges of green and social loans in 2019 and 2022 respectively, which aim to help French local authorities in the financing of investments that support the environmental transition and social cohesion.</w:t>
      </w:r>
    </w:p>
    <w:p w14:paraId="12819DEF" w14:textId="77777777" w:rsidR="000848FA" w:rsidRDefault="00000000">
      <w:r>
        <w:t>In December 2023, Sfil set ambitious targets for reducing the greenhouse gas emissions of its portfolios by 2030.</w:t>
      </w:r>
    </w:p>
    <w:p w14:paraId="119493AC" w14:textId="77777777" w:rsidR="000848FA" w:rsidRDefault="00000000">
      <w:r>
        <w:t>In this context, Sfil will mobilize nearly EUR 30 billion over the period 2024‑2030 to support the ecological transition and socially‑related investments see 2.</w:t>
      </w:r>
    </w:p>
    <w:p w14:paraId="0BF1E9A8" w14:textId="77777777" w:rsidR="000848FA" w:rsidRDefault="00000000">
      <w:r>
        <w:t>In addition, in order to support Sfil in its development, a Transformation division was created in 2023.</w:t>
      </w:r>
    </w:p>
    <w:p w14:paraId="5A9D8009" w14:textId="77777777" w:rsidR="000848FA" w:rsidRDefault="00000000">
      <w:r>
        <w:t>Its missions include monitoring the strategic plan, pursuing the operational excellence approach, stimulating innovation, particularly in connection with the development of artificial intelligence, and supporting the new initiatives that will result from the synergy with the ecosystem of the Caisse des Dépôts Group.</w:t>
      </w:r>
    </w:p>
    <w:p w14:paraId="6745C756" w14:textId="77777777" w:rsidR="000848FA" w:rsidRDefault="00000000">
      <w:r>
        <w:t>A record level of activity for Sfil In response to these changes, Sfil fully carried out its missions in accordance with its strategic objectives by continuing to demonstrate the solidity and relevance of its public development bank model.</w:t>
      </w:r>
    </w:p>
    <w:p w14:paraId="7AFD27EC" w14:textId="77777777" w:rsidR="000848FA" w:rsidRDefault="00000000">
      <w:r>
        <w:t>Supporting the ecological and energy transition and supporting regional cohesion The context of inflation and uncertainty continued to constrain local authorities in their search for financing to accelerate climate action, while the Institute of the Climate Economy I4CE has estimated that Climate financing to be conducted within metropolitan local authorities needs to double each year to meet Frances intermediate commitments by 2030 to achieve carbon neutrality by 2050.</w:t>
      </w:r>
    </w:p>
    <w:p w14:paraId="5CF18856" w14:textId="77777777" w:rsidR="000848FA" w:rsidRDefault="00000000">
      <w:r>
        <w:t>At the same time, to accelerate the ecological and energy transition in the regions and, in particular, to achieve its greenhouse gas reduction targets, in 2023, the French government created the Green Fund focusing specifically on three areas, energy efficiency, climate change adaptation and improvement of the living environment.</w:t>
      </w:r>
    </w:p>
    <w:p w14:paraId="390831F8" w14:textId="77777777" w:rsidR="000848FA" w:rsidRDefault="00000000">
      <w:r>
        <w:lastRenderedPageBreak/>
        <w:t>Like France Relance, this new support mechanism is intended to be a catalyst for climate investments.</w:t>
      </w:r>
    </w:p>
    <w:p w14:paraId="0A71D20F" w14:textId="77777777" w:rsidR="000848FA" w:rsidRDefault="00000000">
      <w:r>
        <w:t>As stated in December 2023 when announcing its 2030 targets to reduce financed emissions, Sfil will continue to support the efforts of its clients in favor of the energy and environmental transition in the countries of destination by an even stronger mobilization of thematic loans over the 2024‑2030 period see 2.</w:t>
      </w:r>
    </w:p>
    <w:p w14:paraId="4B94508E" w14:textId="77777777" w:rsidR="000848FA" w:rsidRDefault="00000000">
      <w:r>
        <w:t>From this date, Sfil will also have to publish information required by Regulation 2020852 of June 18, 2020, which introduces a framework for identifying environmentally sustainable activities Taxonomy Regulation.</w:t>
      </w:r>
    </w:p>
    <w:p w14:paraId="13E33FE4" w14:textId="77777777" w:rsidR="000848FA" w:rsidRDefault="00000000">
      <w:r>
        <w:t>An item‑by‑item analysis of this change in recurring net income shows that, This very solid performance was in line with the objectives of the public development bank model of Sfil.</w:t>
      </w:r>
    </w:p>
    <w:p w14:paraId="1016BB50" w14:textId="77777777" w:rsidR="000848FA" w:rsidRDefault="00000000">
      <w:r>
        <w:t>This transparency measure should make it possible to better identify investments favorable to the transition and to make the efforts undertaken more objective.</w:t>
      </w:r>
    </w:p>
    <w:p w14:paraId="531CA95A" w14:textId="77777777" w:rsidR="000848FA" w:rsidRDefault="00000000">
      <w:r>
        <w:t>Missions and general architecture of the internal control system The objectives and organization of the internal control system that Sfil has set up comply with the provisions of the ministerial arrêté of November 3, 2014 as amended.</w:t>
      </w:r>
    </w:p>
    <w:p w14:paraId="0D99D1DE" w14:textId="77777777" w:rsidR="000848FA" w:rsidRDefault="00000000">
      <w:r>
        <w:t>This text requires that an internal control system be set up and specifies in particular the principles relating to, Its main purpose is to ensure the overall control of risks and to provide reasonable, but not absolute, assurance of the attainment of the objectives that the Group Sfil has set in this area.</w:t>
      </w:r>
    </w:p>
    <w:p w14:paraId="6114E1E7" w14:textId="77777777" w:rsidR="000848FA" w:rsidRDefault="00000000">
      <w:r>
        <w:t>They also report on the performance of their duties to the Risks and Internal Control Committee, a specialized committee of the Board of Directors of Sfil.</w:t>
      </w:r>
    </w:p>
    <w:p w14:paraId="792B33DB" w14:textId="77777777" w:rsidR="000848FA" w:rsidRDefault="00000000">
      <w:r>
        <w:t>They also have the right of initiative and may directly contact the Board of Directors of Sfil or Risks and Internal Control Committee if they consider that an event that could have a significant impact must be submitted to it.</w:t>
      </w:r>
    </w:p>
    <w:p w14:paraId="097149B4" w14:textId="77777777" w:rsidR="000848FA" w:rsidRDefault="00000000">
      <w:r>
        <w:t>The heads of Internal Audit, the Risks division and the Compliance division may be heard by the Board of Directors or one of its specialized committees, possibly without the presence of the effective managers.</w:t>
      </w:r>
    </w:p>
    <w:p w14:paraId="5A253C81" w14:textId="77777777" w:rsidR="000848FA" w:rsidRDefault="00000000">
      <w:r>
        <w:t>Risks and Internal Control Committee To fulfill its responsibilities, the Board of Directors relies on the Risks and Internal Control Committee, from which it emanates and which is responsible for, The reports of the internal control functions are presented and discussed within the Risks and Internal Control Committee.</w:t>
      </w:r>
    </w:p>
    <w:p w14:paraId="618F10F4" w14:textId="77777777" w:rsidR="000848FA" w:rsidRDefault="00000000">
      <w:r>
        <w:t>To this end, these employees, correspondents and persons responsible rely on the policies, limits and indicators with a clear separation between the launch of operations and their validation, control or settlement.</w:t>
      </w:r>
    </w:p>
    <w:p w14:paraId="488A56A7" w14:textId="77777777" w:rsidR="000848FA" w:rsidRDefault="00000000">
      <w:r>
        <w:lastRenderedPageBreak/>
        <w:t>These policies, limits and indicators are defined by several internal committees comprising operating, support, and control staff, and chaired by a member of the Executive Committee of Sfil and constitute the Risk Appetite Statement approved by the Board of Directors of Sfil.</w:t>
      </w:r>
    </w:p>
    <w:p w14:paraId="7E2B21BA" w14:textId="77777777" w:rsidR="000848FA" w:rsidRDefault="00000000">
      <w:r>
        <w:t>Those carried out by the Compliance division are described in the following section dedicated to permanent compliance control.</w:t>
      </w:r>
    </w:p>
    <w:p w14:paraId="57B9CD56" w14:textId="77777777" w:rsidR="000848FA" w:rsidRDefault="00000000">
      <w:r>
        <w:t>Holding of 1 Risks and Internal Control Committee meeting per year dedicated specifically to internal control.</w:t>
      </w:r>
    </w:p>
    <w:p w14:paraId="0E074452" w14:textId="77777777" w:rsidR="000848FA" w:rsidRDefault="00000000">
      <w:r>
        <w:t>To perform its duties, the Compliance division also relies on internal systems that enable the detection and reporting of reports, breaches, violations or malfunctions, via, To ensure the effectiveness of the non‑compliance risk management system, the Compliance division defines an annual control plan based on the identification and assessment of non‑compliance risks.</w:t>
      </w:r>
    </w:p>
    <w:p w14:paraId="47D4BCBB" w14:textId="77777777" w:rsidR="000848FA" w:rsidRDefault="00000000">
      <w:r>
        <w:t>This mapping is reviewed at least once a year in order in particular to take into account changes in activities that Sfil carries out, the results of compliance checks carried out in N‑1, compliance incidents and regulatory developments.</w:t>
      </w:r>
    </w:p>
    <w:p w14:paraId="47591B97" w14:textId="77777777" w:rsidR="000848FA" w:rsidRDefault="00000000">
      <w:r>
        <w:t>The implementation of the control plan is subject to periodic reporting to the governance bodies of Sfil and Caffil.</w:t>
      </w:r>
    </w:p>
    <w:p w14:paraId="40843889" w14:textId="77777777" w:rsidR="000848FA" w:rsidRDefault="00000000">
      <w:r>
        <w:t>The effective managers and the Board of Directors of Sfil as well as the governance bodies of Caffil are regularly informed of the compliance control system.</w:t>
      </w:r>
    </w:p>
    <w:p w14:paraId="2B79C0F4" w14:textId="77777777" w:rsidR="000848FA" w:rsidRDefault="00000000">
      <w:r>
        <w:t>They assess the relevance of the permanent compliance controls, decide on any improvements to be made, and, more generally, rule on the key challenges connected with the compliance system.</w:t>
      </w:r>
    </w:p>
    <w:p w14:paraId="78EC1AAB" w14:textId="77777777" w:rsidR="000848FA" w:rsidRDefault="00000000">
      <w:r>
        <w:t>Permanent control activities carried out by the Compliance division In 2023, the Compliance division carried out the following work in the context of its missions in relation to permanent compliance controls, Missions 2023 Performance Identifying and assessing non‑compliance risk Controlling the risks of non‑compliance Defining and monitoring action plans Anomalies or non‑compliances identified as part of the compliance controls were the subject of specific action plans proposed to the relevant divisions in charge of their implementation.</w:t>
      </w:r>
    </w:p>
    <w:p w14:paraId="14C7FDA5" w14:textId="77777777" w:rsidR="000848FA" w:rsidRDefault="00000000">
      <w:r>
        <w:t>Inform General management and the governance bodies The results of the permanent compliance controls as of December 31, 2022 and for the first three quarters of 2023 as well as the monitoring of the action plans were presented to, Reporting to the banking supervisor the network of 16 permanent correspondents and 16 alternates appointed.</w:t>
      </w:r>
    </w:p>
    <w:p w14:paraId="575A6F98" w14:textId="77777777" w:rsidR="000848FA" w:rsidRDefault="00000000">
      <w:r>
        <w:t>No alert was sent in 2023 to the General Secretary, Director of Compliance, on risks relating to the compliance system.</w:t>
      </w:r>
    </w:p>
    <w:p w14:paraId="4377ED17" w14:textId="77777777" w:rsidR="000848FA" w:rsidRDefault="00000000">
      <w:r>
        <w:lastRenderedPageBreak/>
        <w:t>In addition to the direct reporting of the General Auditor to the Chief Executive Officer, independence and efficiency of the Internal Audit division is assured by, These principles are reflected in the internal audit charter and the inspection charter approved by the Risks and Internal Control Committee of Sfil and distributed to all Sfil employees to remind them of the rights and duties of auditors and auditees.</w:t>
      </w:r>
    </w:p>
    <w:p w14:paraId="6ACF6125" w14:textId="77777777" w:rsidR="000848FA" w:rsidRDefault="00000000">
      <w:r>
        <w:t>Furthermore, every auditor is responsible for a specific field, reflected in their responsibility to update permanent documentation, sit on some of the committees of the Sfil Group as an observer, risk monitoring and the following up of recommendations for implementation by operating divisions.</w:t>
      </w:r>
    </w:p>
    <w:p w14:paraId="30CEC7D2" w14:textId="77777777" w:rsidR="000848FA" w:rsidRDefault="00000000">
      <w:r>
        <w:t>Internal Audit division's activities The divisions activities are described in an internal audit manual that is based on the reference framework of the professional internal audit practices of the IFACI and are mapped in a dedicated process.</w:t>
      </w:r>
    </w:p>
    <w:p w14:paraId="07D4950A" w14:textId="77777777" w:rsidR="000848FA" w:rsidRDefault="00000000">
      <w:r>
        <w:t>Monitoring the recommendations made following missions by the Internal Audit and Inspection division or the supervisory authorities This monitoring is performed via an automated monitoring process to implement the action plans resulting from these recommendations.</w:t>
      </w:r>
    </w:p>
    <w:p w14:paraId="01665AA2" w14:textId="77777777" w:rsidR="000848FA" w:rsidRDefault="00000000">
      <w:r>
        <w:t>Indicators dedicated to monitoring the effectiveness and performance of the Internal Audit divisions activities are monitored on a quarterly basis.</w:t>
      </w:r>
    </w:p>
    <w:p w14:paraId="4EAF9C97" w14:textId="77777777" w:rsidR="000848FA" w:rsidRDefault="00000000">
      <w:r>
        <w:t>It participates actively in managing the technical development of IT systems, and relies on a cross‑divisional team within the Technology and Organization division to improve, secure and ensure the sustainability of its IT system.</w:t>
      </w:r>
    </w:p>
    <w:p w14:paraId="42173F59" w14:textId="77777777" w:rsidR="000848FA" w:rsidRDefault="00000000">
      <w:r>
        <w:t>They are consulted throughout the process of preparation of the financial statements in order to ensure efficiency and transparency.</w:t>
      </w:r>
    </w:p>
    <w:p w14:paraId="10E60D41" w14:textId="77777777" w:rsidR="000848FA" w:rsidRDefault="00000000">
      <w:r>
        <w:t>They may make recommendations to the Companys management on internal control procedures and systems that could improve the quality or security of financial and accounting information produced.</w:t>
      </w:r>
    </w:p>
    <w:p w14:paraId="64973ADF" w14:textId="77777777" w:rsidR="000848FA" w:rsidRDefault="00000000">
      <w:r>
        <w:t>The risk appetite framework is formalized by indicators that are monitored quarterly by the Risks and Internal Control Committee, defined for each risk area.</w:t>
      </w:r>
    </w:p>
    <w:p w14:paraId="18BA6910" w14:textId="77777777" w:rsidR="000848FA" w:rsidRDefault="00000000">
      <w:r>
        <w:t>It defines the Sfil Groups risk profile, validates the risk management systems and ensures their compliance.</w:t>
      </w:r>
    </w:p>
    <w:p w14:paraId="425D3B71" w14:textId="77777777" w:rsidR="000848FA" w:rsidRDefault="00000000">
      <w:r>
        <w:t>MREL On November 25, 2022, the ACPR Resolution College notified Sfil of its decision to implement the Single Resolution Boards September 22, 2022 decision setting the Minimum Requirement for Equity and Eligible Liabilities for Sfil.</w:t>
      </w:r>
    </w:p>
    <w:p w14:paraId="54C95F21" w14:textId="77777777" w:rsidR="000848FA" w:rsidRDefault="00000000">
      <w:r>
        <w:t>Physical extreme weather events, environmental degradation and transition risks transition to a low‑carbon economic model are gradually being integrated into Sfils risk management system.</w:t>
      </w:r>
    </w:p>
    <w:p w14:paraId="4C535B57" w14:textId="77777777" w:rsidR="000848FA" w:rsidRDefault="00000000">
      <w:r>
        <w:lastRenderedPageBreak/>
        <w:t>The operational deployment of this rating methodology will take place in 2024, with the integration of the climate and environmental rating in the credit granting system and in the risk management processes.</w:t>
      </w:r>
    </w:p>
    <w:p w14:paraId="34E3F717" w14:textId="77777777" w:rsidR="000848FA" w:rsidRDefault="00000000">
      <w:r>
        <w:t>To this end, it has set up a compliance system based on a risk‑based approach, reasonably designed to ensure compliance with laws and regulations, particularly with regard to AML‑FT and applicable sanctions.</w:t>
      </w:r>
    </w:p>
    <w:p w14:paraId="288B0912" w14:textId="77777777" w:rsidR="000848FA" w:rsidRDefault="00000000">
      <w:r>
        <w:t>The system is based on the identification of potential risks, strategies to mitigate them, programs dedicated to regulations that are particularly structuring for its activities, awareness‑raising training actions on these risks and a body of rules and procedures.</w:t>
      </w:r>
    </w:p>
    <w:p w14:paraId="78E7B799" w14:textId="77777777" w:rsidR="000848FA" w:rsidRDefault="00000000">
      <w:r>
        <w:t>Transition risk is the financial loss resulting from the process of transitioning to a low‑carbon and environmentally sustainable economy and may be attributable to climate or environmental factors, such as policy changes, regulations, technologies or market sentiment.</w:t>
      </w:r>
    </w:p>
    <w:p w14:paraId="6C7B7465" w14:textId="77777777" w:rsidR="000848FA" w:rsidRDefault="00000000">
      <w:r>
        <w:t>It comprises representatives of the various divisions that are concerned and is responsible for managing and implementing the work carried out as part of the Group's climate roadmap.</w:t>
      </w:r>
    </w:p>
    <w:p w14:paraId="572D44A5" w14:textId="77777777" w:rsidR="000848FA" w:rsidRDefault="00000000">
      <w:r>
        <w:t>Sfil aims to integrate climate and environmental risks into all of its risk management processes.</w:t>
      </w:r>
    </w:p>
    <w:p w14:paraId="7EAF54D0" w14:textId="77777777" w:rsidR="000848FA" w:rsidRDefault="00000000">
      <w:r>
        <w:t>Market risk governance and monitoring Market risk monitoring is governed by the Market Risk and Guidelines Committee, which monitors on a quarterly basis, This Committee is also responsible for approving policies, directives and procedures relating to non‑regulatory market risks before they are submitted to the Risks Committee.</w:t>
      </w:r>
    </w:p>
    <w:p w14:paraId="2755BED4" w14:textId="77777777" w:rsidR="000848FA" w:rsidRDefault="00000000">
      <w:r>
        <w:t>Liquidity risk management principles implemented by the Sfil Group To control their liquidity risk, Sfil and Caffil mainly rely on static, dynamic and stressed liquidity projections to ensure that the liquidity reserves they have in the short and long term will enable them to meet their commitments.</w:t>
      </w:r>
    </w:p>
    <w:p w14:paraId="1F8689E2" w14:textId="77777777" w:rsidR="000848FA" w:rsidRDefault="00000000">
      <w:r>
        <w:t>Dynamic liquidity forecasts take into account business assumptions new assets and new financing, under normal and stressed conditions, The Sfil Groups liquidity risk is also subject to compliance with regulatory liquidity ratios supplemented by internal liquidity indicators.</w:t>
      </w:r>
    </w:p>
    <w:p w14:paraId="076465CB" w14:textId="77777777" w:rsidR="000848FA" w:rsidRDefault="00000000">
      <w:r>
        <w:t>The policy with regard to the measurement and management of operational risks excluding non‑compliance risk involves regularly identifying and assessing incurred risks as well as existing arrangements to mitigate and control them in order to ascertain whether the level of residual risk is acceptable.</w:t>
      </w:r>
    </w:p>
    <w:p w14:paraId="31A1C32F" w14:textId="77777777" w:rsidR="000848FA" w:rsidRDefault="00000000">
      <w:r>
        <w:t>Preparation of a document presented to the Risks and Internal Control Committee in January dedicated specifically to internal control.</w:t>
      </w:r>
    </w:p>
    <w:p w14:paraId="25C9C2E2" w14:textId="77777777" w:rsidR="000848FA" w:rsidRDefault="00000000">
      <w:r>
        <w:lastRenderedPageBreak/>
        <w:t>This operational incident and loss collection process allows Sfil Group not only to comply with regulatory requirements but also to gather key data to improve the quality of its internal control system.</w:t>
      </w:r>
    </w:p>
    <w:p w14:paraId="484625A7" w14:textId="77777777" w:rsidR="000848FA" w:rsidRDefault="00000000">
      <w:r>
        <w:t>Various procedures and systems are in place to ensure secure payment methods, including payment processes under the responsibility of the back offices, segregation of duties, clearly defined rules for validating individual payments, secure message management, the business continuity plan and specific compliance controls.</w:t>
      </w:r>
    </w:p>
    <w:p w14:paraId="461F516F" w14:textId="77777777" w:rsidR="000848FA" w:rsidRDefault="00000000">
      <w:r>
        <w:t>Reputational risk is essentially a risk contingent on all the other risks incurred by the bank and in particular the potential materialization of a credit risk, a market risk, an operational risk or a risk of non‑compliance, as well as a violation of the Ethics and Professional Conduct Code of Sfil.</w:t>
      </w:r>
    </w:p>
    <w:p w14:paraId="3A83DA07" w14:textId="77777777" w:rsidR="000848FA" w:rsidRDefault="00000000">
      <w:r>
        <w:t>Non‑compliance risks by Sfil Group are organized into two major categories, regulatory compliance risks and risks in terms of financial security.</w:t>
      </w:r>
    </w:p>
    <w:p w14:paraId="6F501C0D" w14:textId="77777777" w:rsidR="000848FA" w:rsidRDefault="00000000">
      <w:r>
        <w:t>Regulatory compliance risks Risks in terms of financial security Professional conduct and prevention of conflicts of interest Integrity of markets Protection of customer interests Fight against corruption Protection of personal data Customer knowledge AML‑FT Sanctions, asset freezes and embargoes Export rules The non‑compliance risk management processes apply to all the Sfil Groups divisions, activities and processes.</w:t>
      </w:r>
    </w:p>
    <w:p w14:paraId="6F5112EF" w14:textId="77777777" w:rsidR="000848FA" w:rsidRDefault="00000000">
      <w:r>
        <w:t>Organization and governance Sfil Group has defined and implemented a non‑compliance risk prevention system that is up‑to‑date, adequate and proportionate to its activities, which is based on a shared responsibility between, Pursuant to article 29 of the arrêté of November 3, 2014, Sfils Compliance division is autonomous, independent of all operational units and particularly of any commercial, financial or accounting activity.</w:t>
      </w:r>
    </w:p>
    <w:p w14:paraId="1450508A" w14:textId="77777777" w:rsidR="000848FA" w:rsidRDefault="00000000">
      <w:r>
        <w:t>To support the business lines and ensure the supervision of the system, the organization of the Compliance division is based on, Reports on the compliance system are submitted to the governance bodies.</w:t>
      </w:r>
    </w:p>
    <w:p w14:paraId="682E7F65" w14:textId="77777777" w:rsidR="000848FA" w:rsidRDefault="00000000">
      <w:r>
        <w:t>At the Executive Committee meeting, the effective managers assess the relevance of the controls, decide on any improvements to be made and, more generally, give their opinion on the main issues related to the compliance system.</w:t>
      </w:r>
    </w:p>
    <w:p w14:paraId="5ADA278C" w14:textId="77777777" w:rsidR="000848FA" w:rsidRDefault="00000000">
      <w:r>
        <w:t>They monitor the implementation of compliance action plans.</w:t>
      </w:r>
    </w:p>
    <w:p w14:paraId="7E2C083D" w14:textId="77777777" w:rsidR="000848FA" w:rsidRDefault="00000000">
      <w:r>
        <w:t>They are informed of major compliance issues that impact Sfil's compliance system, particularly in the event of regulatory changes.</w:t>
      </w:r>
    </w:p>
    <w:p w14:paraId="7A44F8F4" w14:textId="77777777" w:rsidR="000848FA" w:rsidRDefault="00000000">
      <w:r>
        <w:t>The Compliance division verifies compliance with these policies and procedures and, if necessary, proposes actions to the divisions concerned to ensure their compliance.</w:t>
      </w:r>
    </w:p>
    <w:p w14:paraId="430F9EF4" w14:textId="77777777" w:rsidR="000848FA" w:rsidRDefault="00000000">
      <w:r>
        <w:lastRenderedPageBreak/>
        <w:t>Sfils policy for measuring and managing non‑compliance risk, consists of regularly identifying and assessing its risk exposure and the existing mitigation and control systems to establish whether or not the level of residual risk is acceptable.</w:t>
      </w:r>
    </w:p>
    <w:p w14:paraId="4951C949" w14:textId="77777777" w:rsidR="000848FA" w:rsidRDefault="00000000">
      <w:r>
        <w:t>This policy is divided into four main processes, Implementation of the compliance system During 2023, Sfil continued to implement its compliance system, through the following initiatives, the mapping of non‑compliance risks.</w:t>
      </w:r>
    </w:p>
    <w:p w14:paraId="61A3DCC5" w14:textId="77777777" w:rsidR="000848FA" w:rsidRDefault="00000000">
      <w:r>
        <w:t>In 2023, the Compliance division focused on the operational implementation of these new standards in order to meet intra‑group reporting and information‑sharing requirements, notably through AMLFT risk indicators presented half‑yearly to the Risks and Internal Control Committee and reported to the Compliance division of Caisse des Dépôts.</w:t>
      </w:r>
    </w:p>
    <w:p w14:paraId="665956F1" w14:textId="77777777" w:rsidR="000848FA" w:rsidRDefault="00000000">
      <w:r>
        <w:t>It also promotes an anti‑corruption culture in the behavior of employees, in order to guarantee internal and external relations guaranteeing compliance with the rules on probity and corruption.</w:t>
      </w:r>
    </w:p>
    <w:p w14:paraId="0C69528A" w14:textId="77777777" w:rsidR="000848FA" w:rsidRDefault="00000000">
      <w:r>
        <w:t>The internal whistleblowing system complies with the regulatory requirements of the European Banking Authoritys guidelines transposed by the Waserman laws and the implementing decree of October 3, 2022, In general, the Compliance division continued to improve its organization, processes and tools with a focus on digital, with the constant aim of improving its effectiveness in handling regulatory changes and meeting supervisors expectations.</w:t>
      </w:r>
    </w:p>
    <w:p w14:paraId="3F903CB1" w14:textId="77777777" w:rsidR="000848FA" w:rsidRDefault="00000000">
      <w:r>
        <w:t>The latest compliance actions with respect to the complaints processing system have been implemented.</w:t>
      </w:r>
    </w:p>
    <w:p w14:paraId="1B7533DC" w14:textId="77777777" w:rsidR="000848FA" w:rsidRDefault="00000000">
      <w:r>
        <w:t>The training of employees and corporate officers is a priority for Sfil insofar as it contributes to strengthening the culture of compliance.</w:t>
      </w:r>
    </w:p>
    <w:p w14:paraId="7A53456D" w14:textId="77777777" w:rsidR="000848FA" w:rsidRDefault="00000000">
      <w:r>
        <w:t>The training plan provides for a program dedicated to corporate officers on governance and compliance.</w:t>
      </w:r>
    </w:p>
    <w:p w14:paraId="679B63E0" w14:textId="77777777" w:rsidR="000848FA" w:rsidRDefault="00000000">
      <w:r>
        <w:t>As a result of this agreement, a tax income of EUR 6 million, corresponding to the difference between the amount provisioned and the amount paid, is recognized in Sfils consolidated income for 2023 at December 31, 2023.</w:t>
      </w:r>
    </w:p>
    <w:p w14:paraId="4F537D30" w14:textId="77777777" w:rsidR="000848FA" w:rsidRDefault="00000000">
      <w:r>
        <w:t>The review and negotiation of contracts, in particular the contracts governing the partnership between SfilCaffil and La Banque Postale as well as La Banque des Territoires, the framework agreements on financial instruments, the documentation on bond issues, green and social financing, supplier contracts, including contracts for the provision of essential outsourced services and, more generally, the adaptation of all contracts to regulatory changes with an impact on the business.</w:t>
      </w:r>
    </w:p>
    <w:p w14:paraId="50F67B18" w14:textId="77777777" w:rsidR="000848FA" w:rsidRDefault="00000000">
      <w:r>
        <w:t>This is reflected in commitments that aim to make a significant contribution to the United Nations Sustainable Development Goals SDGs, sustainality‑related governance and finally the exclusion policy the Sfil Group has adopted.</w:t>
      </w:r>
    </w:p>
    <w:p w14:paraId="1ADD2DB3" w14:textId="77777777" w:rsidR="000848FA" w:rsidRDefault="00000000">
      <w:r>
        <w:lastRenderedPageBreak/>
        <w:t>Its proposals are put to the Board of Directors which decides on the concrete actions to take and approves the compensation policy.</w:t>
      </w:r>
    </w:p>
    <w:p w14:paraId="322EE7AC" w14:textId="77777777" w:rsidR="000848FA" w:rsidRDefault="00000000">
      <w:r>
        <w:t>The compensation policy must, This approach relates to both fixed compensation not performance‑related and variable compensation performance‑related and its general principles apply to all employees.</w:t>
      </w:r>
    </w:p>
    <w:p w14:paraId="4C7A7B70" w14:textId="77777777" w:rsidR="000848FA" w:rsidRDefault="00000000">
      <w:r>
        <w:t>The compensation of the Chief Executive Officer is composed of a fixed compensation and a variable compensation based on the achievement of individual objectives allocated by the Board of Directors.</w:t>
      </w:r>
    </w:p>
    <w:p w14:paraId="11DE5C3F" w14:textId="77777777" w:rsidR="000848FA" w:rsidRDefault="00000000">
      <w:r>
        <w:t>Compensation paid to members of the Executive Committee, the General Auditor and employees whose professional activities have a material incidence on the Companys risk profile The compensation policy includes specific provisions for an identified group of employees whose work could potentially impact the risk profile of Sfil.</w:t>
      </w:r>
    </w:p>
    <w:p w14:paraId="1A858739" w14:textId="77777777" w:rsidR="000848FA" w:rsidRDefault="00000000">
      <w:r>
        <w:t>These employees are the members of the Executive Committee, the General Auditor, financial market professionals, senior managers or staff with managerial responsibilities within a significant business unit, staff responsible for a function in charge of legal and financial affairs, including tax and budget preparation, human resources, compensation policy, information technology or economic analysis, professionals in the risk sector and those carrying out an activity related to internal control and compliance, as well as all employees whose variable compensation during a year exceeds EUR 87,500 or who received during a year an amount of fixed and variable income exceeding EUR 200,000.</w:t>
      </w:r>
    </w:p>
    <w:p w14:paraId="0FA1613D" w14:textId="77777777" w:rsidR="000848FA" w:rsidRDefault="00000000">
      <w:r>
        <w:t>Cross‑functional objectives contribute half of their annual performance and are defined by the Board of Directors.</w:t>
      </w:r>
    </w:p>
    <w:p w14:paraId="3D1C183C" w14:textId="77777777" w:rsidR="000848FA" w:rsidRDefault="00000000">
      <w:r>
        <w:t>At the end of 2023, Sfil signed a mandatory annual negotiation agreement with its social partners including a general fixed salary increase.</w:t>
      </w:r>
    </w:p>
    <w:p w14:paraId="79DA7CAD" w14:textId="77777777" w:rsidR="000848FA" w:rsidRDefault="00000000">
      <w:r>
        <w:t>Thus, the achievement of the objectives concerning the reduction of the volume of IT data storage, the level of the professional equality index and the proportion of green and social loans granted to the French local public sector each year are taken into account for the calculation of the collective performance of Sfil determining the profit‑sharing budget for the year.</w:t>
      </w:r>
    </w:p>
    <w:p w14:paraId="4DEDF29B" w14:textId="77777777" w:rsidR="000848FA" w:rsidRDefault="00000000">
      <w:r>
        <w:t>The current agreement applicable provides that the social and economic committee meets at least eight times a year and is consulted annually on the Companys strategy, financial situation and labor relations policy.</w:t>
      </w:r>
    </w:p>
    <w:p w14:paraId="3C810498" w14:textId="77777777" w:rsidR="000848FA" w:rsidRDefault="00000000">
      <w:r>
        <w:t>This agreement defines the main areas for pursuing an employment policy for workers with disabilities, Numerous actions such as prioritization of training and coaching, adaptation of remote working or an adapted retirement plan are provided for in this new agreement.</w:t>
      </w:r>
    </w:p>
    <w:p w14:paraId="3C99FE5B" w14:textId="77777777" w:rsidR="000848FA" w:rsidRDefault="00000000">
      <w:r>
        <w:t xml:space="preserve">The main themes of the training policy reflect the #Objectif2026 strategic plan and training preferences expressed by employees in various one‑to‑one or group meetings specifically </w:t>
      </w:r>
      <w:r>
        <w:lastRenderedPageBreak/>
        <w:t>career reviews, professional interviews and evaluation interviews involving the human resources and business line teams.</w:t>
      </w:r>
    </w:p>
    <w:p w14:paraId="7ABFB94E" w14:textId="77777777" w:rsidR="000848FA" w:rsidRDefault="00000000">
      <w:r>
        <w:t>The members of the Executive Committee are involved in the co‑construction of the training policy, in conjunction with the elected representatives of the Works Council.</w:t>
      </w:r>
    </w:p>
    <w:p w14:paraId="2834D3C8" w14:textId="77777777" w:rsidR="000848FA" w:rsidRDefault="00000000">
      <w:r>
        <w:t>The actions deployed aim to optimize employees employability and promote professional mobility and career development within a managed framework.</w:t>
      </w:r>
    </w:p>
    <w:p w14:paraId="0DAD6F75" w14:textId="77777777" w:rsidR="000848FA" w:rsidRDefault="00000000">
      <w:r>
        <w:t>Four areas of development were prioritized in 2023, 457 employees were trained in 2023 for a committed amount of EUR 540,000, of which 40% was intended for business line training.</w:t>
      </w:r>
    </w:p>
    <w:p w14:paraId="5199A023" w14:textId="77777777" w:rsidR="000848FA" w:rsidRDefault="00000000">
      <w:r>
        <w:t>Indeed, change support strongly mobilized all employees in the first half of 2023.</w:t>
      </w:r>
    </w:p>
    <w:p w14:paraId="0DA1473E" w14:textId="77777777" w:rsidR="000848FA" w:rsidRDefault="00000000">
      <w:r>
        <w:t>Equal treatment Policy against harassment, discrimination and sexist behavior The mechanism set against harassment, discrimination and sexist behavior is based on several pillars, The objective of these systems is to prevent and resolve situations at work inducing a risk of non‑compliance with the principles of equal treatment, non‑discrimination and non‑sexual or psychological harassment, cases of racist or discriminatory abuse and sexist behavior.</w:t>
      </w:r>
    </w:p>
    <w:p w14:paraId="7F36D7E8" w14:textId="77777777" w:rsidR="000848FA" w:rsidRDefault="00000000">
      <w:r>
        <w:t>Measures taken to promote gender equality In 2023 as in 2022, Sfil continued to apply its professional equality agreement and meet its commitments with regard to monitoring the following indicators, In accordance with the Avenir law of September 5, 2018 which seeks to eliminate the gender pay gap, at the beginning of 2024, Sfil published the level of its Gender Equality Index for 2023, which reached 93 points out of a maximum of 100 points.</w:t>
      </w:r>
    </w:p>
    <w:p w14:paraId="7605DCEF" w14:textId="77777777" w:rsidR="000848FA" w:rsidRDefault="00000000">
      <w:r>
        <w:t>Taking them into account is key issue for financing activities, in particular to support the borrowers concerned in the expected investments for their ecological and environmental transition.</w:t>
      </w:r>
    </w:p>
    <w:p w14:paraId="59F9AE31" w14:textId="77777777" w:rsidR="000848FA" w:rsidRDefault="00000000">
      <w:r>
        <w:t>The methodology usedwas based on the international standards developed by the Greenhouse Gas Protocol and the Science Based Targets SBTi initiative.</w:t>
      </w:r>
    </w:p>
    <w:p w14:paraId="5A9C60E5" w14:textId="77777777" w:rsidR="000848FA" w:rsidRDefault="00000000">
      <w:r>
        <w:t>Within the GHG Protocol, the PCAF Partnership for Carbon Accounting Financials framework specifies the principles applicable by financial players for the calculation of indirect Scope 3 emissions generated by their financing and investments category 15.</w:t>
      </w:r>
    </w:p>
    <w:p w14:paraId="3C3E1BE4" w14:textId="77777777" w:rsidR="000848FA" w:rsidRDefault="00000000">
      <w:r>
        <w:t>Emissions can be communicated in absolute emissions or intensity, depending on the relevance of the approach for each scope.</w:t>
      </w:r>
    </w:p>
    <w:p w14:paraId="35C0C67B" w14:textId="77777777" w:rsidR="000848FA" w:rsidRDefault="00000000">
      <w:r>
        <w:t>Sfil will integrate the changes made in the update of its greenhouse gas emission reduction targets for its portfolio of loans to the French local public sector.</w:t>
      </w:r>
    </w:p>
    <w:p w14:paraId="3F8B2F8E" w14:textId="77777777" w:rsidR="000848FA" w:rsidRDefault="00000000">
      <w:r>
        <w:lastRenderedPageBreak/>
        <w:t>Shipping Sfil aims to support the transition efforts of the shipping sector and in particular the cruise sub‑sector, by financing the construction of less polluting and more low‑carbon vessels.</w:t>
      </w:r>
    </w:p>
    <w:p w14:paraId="59AC3061" w14:textId="049C40D6" w:rsidR="000848FA" w:rsidRDefault="00000000">
      <w:r>
        <w:t>This initiative aims to establish a global framework for assessing and disclosing the climate alignment of ship finance portfolios to the objectives defined by the International Maritime Organization</w:t>
      </w:r>
      <w:r w:rsidR="00F07FDC">
        <w:t xml:space="preserve">, </w:t>
      </w:r>
      <w:r>
        <w:t>including those announced in July 2023 to reach net zero in 2050 with intermediate targets set at -20% absolute emissions in 2030 and -70% in 2040.</w:t>
      </w:r>
    </w:p>
    <w:p w14:paraId="3DC8D241" w14:textId="58379604" w:rsidR="000848FA" w:rsidRDefault="00000000">
      <w:r>
        <w:t>According to International Energy Agency projections</w:t>
      </w:r>
      <w:r w:rsidR="00F07FDC">
        <w:t xml:space="preserve">, </w:t>
      </w:r>
      <w:proofErr w:type="gramStart"/>
      <w:r>
        <w:t>in order to</w:t>
      </w:r>
      <w:proofErr w:type="gramEnd"/>
      <w:r>
        <w:t xml:space="preserve"> reach net zero by 2050, worldwide natural‑gas‑related capacity need increase from 1,829 GW in 2020 to 1,950 GW in 2030, particularly in developing economies, in which Sfil may to refinance export credits given its status as a public development bank.</w:t>
      </w:r>
    </w:p>
    <w:p w14:paraId="5C36D95C" w14:textId="77777777" w:rsidR="000848FA" w:rsidRDefault="00000000">
      <w:r>
        <w:t>In addition, Sfil will also mobilize nearly EUR 12 billion in social loans over the same period to support French public hospitals and local authorities.</w:t>
      </w:r>
    </w:p>
    <w:p w14:paraId="3F3D7EC8" w14:textId="77777777" w:rsidR="000848FA" w:rsidRDefault="00000000">
      <w:r>
        <w:t>As such, Sfil aims to increase to 33% the proportion of green, social and sustainable bonds.</w:t>
      </w:r>
    </w:p>
    <w:p w14:paraId="353588C3" w14:textId="77777777" w:rsidR="000848FA" w:rsidRDefault="00000000">
      <w:r>
        <w:t>More specifically, Sfil will share the expertise it is developing about the assessment of climate risks for French local authorities.</w:t>
      </w:r>
    </w:p>
    <w:p w14:paraId="61CC6CF7" w14:textId="77777777" w:rsidR="000848FA" w:rsidRDefault="00000000">
      <w:r>
        <w:t>Impacts on the operating scope In line with the consideration of sustainability in its strategy, Sfil strives to reduce the environmental impacts generated by its internal operations.</w:t>
      </w:r>
    </w:p>
    <w:p w14:paraId="7A7D2E8C" w14:textId="77777777" w:rsidR="000848FA" w:rsidRDefault="00000000">
      <w:r>
        <w:t>This new head office is a reference in terms of environmental performance, in line with its purpose and its environmental commitments, limiting the carbon impact in the choice of materials, sobriety in the design, reuse of original elements and protection of biodiversity with the creation of numerous planted areas.</w:t>
      </w:r>
    </w:p>
    <w:p w14:paraId="2F6FA380" w14:textId="77777777" w:rsidR="000848FA" w:rsidRDefault="00000000">
      <w:r>
        <w:t>In addition to obtaining HQE High Environmental Quality, BREEAM Building Research Establishment Environmental Assessment Method and BiodiverCity labels, this was one of the first projects in Paris to be recognized by the demanding BBCA Low‑Carbon Building Renovation label.</w:t>
      </w:r>
    </w:p>
    <w:p w14:paraId="68E03BE4" w14:textId="77777777" w:rsidR="000848FA" w:rsidRDefault="00000000">
      <w:r>
        <w:t>To do this, Sfil has implemented concrete measures to reduce its electricity consumption by 15% to 20%, Resource conservation and waste reduction On a daily basis, Sfil is attentive to limiting the environmental impacts of its operations and has implemented measures to preserve resources.</w:t>
      </w:r>
    </w:p>
    <w:p w14:paraId="7D668439" w14:textId="77777777" w:rsidR="000848FA" w:rsidRDefault="00000000">
      <w:r>
        <w:t>In addition, Sfil has provided water fountains and coffee bean machines in each herbal tea room, enabling employees to adopt more virtuous gestures over the long term, in line with the practices already in place for several years.</w:t>
      </w:r>
    </w:p>
    <w:p w14:paraId="60EB7C36" w14:textId="77777777" w:rsidR="000848FA" w:rsidRDefault="00000000">
      <w:r>
        <w:lastRenderedPageBreak/>
        <w:t>With regard to waste, Sfil has set up selective sorting bins for glass as well as cigarette butts recycling containers at the entrance to its head office in order to improve its selective sorting practices and raise awareness among its employees.</w:t>
      </w:r>
    </w:p>
    <w:p w14:paraId="4509070C" w14:textId="77777777" w:rsidR="000848FA" w:rsidRDefault="00000000">
      <w:r>
        <w:t>This change was related to the return to normal of activity following the Covid‑19 crisis, and also to the implementation of the new strategic plan for 2021‑2026, which required the simultaneous launch of several structuring projects and thus generated a significant increase in emissions for the purchases of intellectual services item.</w:t>
      </w:r>
    </w:p>
    <w:p w14:paraId="066032A0" w14:textId="19C1134B" w:rsidR="000848FA" w:rsidRDefault="00000000">
      <w:r>
        <w:t xml:space="preserve">Aware of the need to be part of a trajectory of controlling its footprint in line with the National Low Carbon Strategy, Sfil will continue its efforts to maintain a level of carbon footprint in its operational scope of 6,500 </w:t>
      </w:r>
      <w:proofErr w:type="spellStart"/>
      <w:r>
        <w:t>tC</w:t>
      </w:r>
      <w:r w:rsidR="00111E91">
        <w:t>O</w:t>
      </w:r>
      <w:proofErr w:type="spellEnd"/>
      <w:r>
        <w:t>.</w:t>
      </w:r>
    </w:p>
    <w:p w14:paraId="3382E0BE" w14:textId="77777777" w:rsidR="000848FA" w:rsidRDefault="00000000">
      <w:r>
        <w:t>Partial carbon offsetting Sfil is committed to the principle of contributing to the trajectory towards carbon neutrality through the measure, reduce, offset triptych.</w:t>
      </w:r>
    </w:p>
    <w:p w14:paraId="3EF4B0D7" w14:textId="77777777" w:rsidR="000848FA" w:rsidRDefault="00000000">
      <w:r>
        <w:t>Thus, in addition to the actions already undertaken to reduce its carbon impact, Sfil continued its collaboration with Société Forestière, also a subsidiary of the Caisse des Dépôts Group, by renewing their agreement.</w:t>
      </w:r>
    </w:p>
    <w:p w14:paraId="4C30FD73" w14:textId="77777777" w:rsidR="000848FA" w:rsidRDefault="00000000">
      <w:r>
        <w:t>As such, Sfil is committed to a voluntary approach to offset part of its residual carbon emissions for 2022 by financing a project carried out in France under the low‑carbon label offering joint biodiversity benefits.</w:t>
      </w:r>
    </w:p>
    <w:p w14:paraId="0E77FA59" w14:textId="77777777" w:rsidR="000848FA" w:rsidRDefault="00000000">
      <w:r>
        <w:t>Societal information Employee awareness and initiatives The commitment of Sfil and its employees to societal and environmental issues is a structuring element of the Companys DNA.</w:t>
      </w:r>
    </w:p>
    <w:p w14:paraId="2BCBEC72" w14:textId="77777777" w:rsidR="000848FA" w:rsidRDefault="00000000">
      <w:r>
        <w:t>Sfil also regularly implements awareness‑raising actions and encourages initiatives proposed by its employees.</w:t>
      </w:r>
    </w:p>
    <w:p w14:paraId="493A8929" w14:textId="77777777" w:rsidR="000848FA" w:rsidRDefault="00000000">
      <w:r>
        <w:t>The objective was to raise awareness and mobilize as many employees as possible by promoting the initiatives implemented within the various divisions.</w:t>
      </w:r>
    </w:p>
    <w:p w14:paraId="65ACC920" w14:textId="77777777" w:rsidR="000848FA" w:rsidRDefault="00000000">
      <w:r>
        <w:t>After a conference on the protection of biodiversity, employees took part in workshops on eight key themes specific to the activities that Sfil carries out.</w:t>
      </w:r>
    </w:p>
    <w:p w14:paraId="30ACCBA9" w14:textId="77777777" w:rsidR="000848FA" w:rsidRDefault="00000000">
      <w:r>
        <w:t>Regional employment and development Sfil provided, Partnership or sponsorship activities Sfils mobilization in favor of victims continued in 2023.</w:t>
      </w:r>
    </w:p>
    <w:p w14:paraId="700DCF9C" w14:textId="77777777" w:rsidR="000848FA" w:rsidRDefault="00000000">
      <w:r>
        <w:t>E2C's training is based on a triptych combining the development of learning, experience in a company and support for inclusion.</w:t>
      </w:r>
    </w:p>
    <w:p w14:paraId="5CE27CDF" w14:textId="77777777" w:rsidR="000848FA" w:rsidRDefault="00000000">
      <w:r>
        <w:t>The purchases policy stipulates that the Company promotes sustainable and socially responsible purchases whenever its various constraints allow.</w:t>
      </w:r>
    </w:p>
    <w:p w14:paraId="77DD51BF" w14:textId="77777777" w:rsidR="000848FA" w:rsidRDefault="00000000">
      <w:r>
        <w:lastRenderedPageBreak/>
        <w:t>In the context of calls for tender, the final decision is based in particular on the service providers compliance with ethical and socially responsible values, and specifically its commitment to a low‑carbon approach.</w:t>
      </w:r>
    </w:p>
    <w:p w14:paraId="00960B52" w14:textId="77777777" w:rsidR="000848FA" w:rsidRDefault="00000000">
      <w:r>
        <w:t>For suppliers of intellectual services, representing nearly one‑third of total purchases, internal supplier evaluation campaigns take into account social ethics practices perceived through the services provided.</w:t>
      </w:r>
    </w:p>
    <w:p w14:paraId="173CF0BB" w14:textId="77777777" w:rsidR="000848FA" w:rsidRDefault="00000000">
      <w:r>
        <w:t>Framework agreements that Sfil has adopted remind suppliers of the tax and social legislation and statutory labor provisions in force as regards the performance of services.</w:t>
      </w:r>
    </w:p>
    <w:p w14:paraId="17EBE24C" w14:textId="77777777" w:rsidR="000848FA" w:rsidRDefault="00000000">
      <w:r>
        <w:t>Promotion of and compliance with the provisions of the fundamental conventions of the International Labour Organization Sfil, as an employer, fully applies French labor law, which incorporates in their entirety the conventions of the International Labour Organization, and in particular the principles relating to, In addition, local public sector entities are not very exposed to the risk of non‑respect of human rights.</w:t>
      </w:r>
    </w:p>
    <w:p w14:paraId="4F552A9A" w14:textId="77777777" w:rsidR="000848FA" w:rsidRDefault="00000000">
      <w:r>
        <w:t>They also carry out social missions and ensure proper compliance with the regulations in force both within their structure and within their region.</w:t>
      </w:r>
    </w:p>
    <w:p w14:paraId="115045DB" w14:textId="77777777" w:rsidR="000848FA" w:rsidRDefault="00000000">
      <w:r>
        <w:t>They ensure compliance with international standards in terms of working conditions and the impact of the project on local populations.</w:t>
      </w:r>
    </w:p>
    <w:p w14:paraId="4F948DA4" w14:textId="77777777" w:rsidR="000848FA" w:rsidRDefault="00000000">
      <w:r>
        <w:t>The Board paid particular attention to the development of activities in the two areas of intervention that are on the one hand the local public sector and on the other hand the refinancing of export credit, which has been particularly dynamic.</w:t>
      </w:r>
    </w:p>
    <w:p w14:paraId="110AB76E" w14:textId="77777777" w:rsidR="000848FA" w:rsidRDefault="00000000">
      <w:r>
        <w:t>The Board focused on the evolution of risks and, in line with the approach begun in 2022, the analysis of sustainable development issues, particularly those related to the climate.</w:t>
      </w:r>
    </w:p>
    <w:p w14:paraId="632BAB2F" w14:textId="77777777" w:rsidR="000848FA" w:rsidRDefault="00000000">
      <w:r>
        <w:t>The Board regularly reviews all the work of the specialized committees, including those relating to internal audit, compliance and permanent control.</w:t>
      </w:r>
    </w:p>
    <w:p w14:paraId="1D531B12" w14:textId="77777777" w:rsidR="000848FA" w:rsidRDefault="00000000">
      <w:r>
        <w:t>The Governance, Appointments and CSR Committee performs an analysis for each appointment based on an analysis grid that lists the different assessment criteria including the main areas of expertise sought by the Board for its candidates.</w:t>
      </w:r>
    </w:p>
    <w:p w14:paraId="184231B9" w14:textId="77777777" w:rsidR="000848FA" w:rsidRDefault="00000000">
      <w:r>
        <w:t>The composition of the Boards specialized committees has been modified as a result of the changes made at the level of the Board of Directors.</w:t>
      </w:r>
    </w:p>
    <w:p w14:paraId="3E7A31D1" w14:textId="77777777" w:rsidR="000848FA" w:rsidRDefault="00000000">
      <w:r>
        <w:t>It took note of Statutory Auditors' audit approach for 2024 and examined the conditions of their independence and their services rendered other than the Statutory Audits.</w:t>
      </w:r>
    </w:p>
    <w:p w14:paraId="70D5EDD3" w14:textId="77777777" w:rsidR="000848FA" w:rsidRDefault="00000000">
      <w:r>
        <w:t xml:space="preserve">The first meeting of 2023 was specifically devoted to the review of the systems of the permanent and periodic control functions of Sfil and Caffil, in particular, operational and non‑compliance risk mapping, 2023 permanent control plans including compliance, 2023 </w:t>
      </w:r>
      <w:r>
        <w:lastRenderedPageBreak/>
        <w:t>audit plan, adequacy of means and resources of internal control functions, and the results of the Statutory Auditors' review on the internal control system.</w:t>
      </w:r>
    </w:p>
    <w:p w14:paraId="5A119BC1" w14:textId="77777777" w:rsidR="000848FA" w:rsidRDefault="00000000">
      <w:r>
        <w:t>The participants of this first Committees meeting included only Committee members, the Statutory Auditors and the heads of internal control at Sfil the Risks Officer, the Compliance Officer and the General Auditor.</w:t>
      </w:r>
    </w:p>
    <w:p w14:paraId="70912EBA" w14:textId="77777777" w:rsidR="000848FA" w:rsidRDefault="00000000">
      <w:r>
        <w:t>The other meetings in 2023, in the presence of General management and the operational functions concerned by the subjects presented, mainly consisted in examining the quarterly reports on risk monitoring, the results of permanent control plans, including compliance, the monitoring of the recommendations issued by the ECB, the results of periodic controls and follow‑up of the recommendations issued as part of these controls, the Pillar 3 report, the ICAAP and ILAAP reports, the preventive recovery plan, the risk appetite, the mapping on the consolidated risks of Sfil and Caffil, risk policies and the 2024 roadmap on climate and environmental risks.</w:t>
      </w:r>
    </w:p>
    <w:p w14:paraId="0CBA79D4" w14:textId="77777777" w:rsidR="000848FA" w:rsidRDefault="00000000">
      <w:r>
        <w:t>The following were also presented for review, the activity reports of the compliance function, the report of the data protection officer, the report on internal credit models, the update of the functions considered as risk‑takers and the 2022 reports on internal control, including one dedicated to the fight against money laundering and the financing of terrorism.</w:t>
      </w:r>
    </w:p>
    <w:p w14:paraId="68E06ED7" w14:textId="77777777" w:rsidR="000848FA" w:rsidRDefault="00000000">
      <w:r>
        <w:t>It focused on the application of the gender diversity policy for management bodies.</w:t>
      </w:r>
    </w:p>
    <w:p w14:paraId="05090A1F" w14:textId="77777777" w:rsidR="000848FA" w:rsidRDefault="00000000">
      <w:r>
        <w:t>The Committee reviewed the draft report on corporate governance and examined the sustainable development policy and report for 2022.</w:t>
      </w:r>
    </w:p>
    <w:p w14:paraId="46D5FCD6" w14:textId="77777777" w:rsidR="000848FA" w:rsidRDefault="00000000">
      <w:r>
        <w:t>Without changing its risk management strategy, the Group has identified, in the context of the abovementioned committee, the risks to which it is exposed arising from financial instruments because of the transition to the new benchmark rates, Since 2020, the Group has reinforced its access to derivatives markets of alternative reference rates.</w:t>
      </w:r>
    </w:p>
    <w:p w14:paraId="1A5172B7" w14:textId="77777777" w:rsidR="000848FA" w:rsidRDefault="00000000">
      <w:r>
        <w:t>Information on the effect and consideration of climate risks on credit risk management is presented in paragraph 1.</w:t>
      </w:r>
    </w:p>
    <w:p w14:paraId="41AA8935" w14:textId="77777777" w:rsidR="000848FA" w:rsidRDefault="00000000">
      <w:r>
        <w:t>Business model The inclusion of Groups financial assets within business models is assessed at a level that reflects how groups of financial assets are managed together to achieve Groups business objectives, which are, This assessment implies most of the time the use of judgment and relies on facts, circumstances and, generally speaking, all relevant evidence that is available for the Group at the date of the assessment.</w:t>
      </w:r>
    </w:p>
    <w:p w14:paraId="465E8EF8" w14:textId="77777777" w:rsidR="000848FA" w:rsidRDefault="00000000">
      <w:r>
        <w:t>Financial assets measured at amortized cost A financial asset is classified and subsequently measured at amortized cost if it is compliant with both of the tow following conditions, First impact loans were granted by the Group to support companies in their sustainability efforts through an incentive mechanism to revise the margin based on ESG criteria specific to the borrower or to its achievement of sustainable objectives Sustainability‑linked loans.</w:t>
      </w:r>
    </w:p>
    <w:p w14:paraId="349F9C55" w14:textId="77777777" w:rsidR="000848FA" w:rsidRDefault="00000000">
      <w:r>
        <w:lastRenderedPageBreak/>
        <w:t>Thus, the modelling of macro‑budgetary variables now includes the expenses related to a progressive implementation over the period 2023‑2026 of the additional investment efforts expected from local authorities to comply with the National Low Carbon Strategy, as I4CE has estimated in its study Communities, Investment and engineering needs for carbon neutrality.</w:t>
      </w:r>
    </w:p>
    <w:p w14:paraId="6A3D335B" w14:textId="77777777" w:rsidR="000848FA" w:rsidRDefault="00000000">
      <w:r>
        <w:t>An initial estimate of the costs of adapting to climate change, based on the study Climate assessment of local government budgets mitigation component published in September 2022 by I4CE was also taken into account in the construction of these scenarios.</w:t>
      </w:r>
    </w:p>
    <w:p w14:paraId="48E81907" w14:textId="77777777" w:rsidR="000848FA" w:rsidRDefault="00000000">
      <w:r>
        <w:t>Operating revenues are characterized by a certain regularity, and are allocated first and foremost to the payment of the communitys current expenses, known as management expenses personnel costs, purchases and supplies, social assistance, etc.</w:t>
      </w:r>
    </w:p>
    <w:p w14:paraId="0B14FBC3" w14:textId="77777777" w:rsidR="000848FA" w:rsidRDefault="00000000">
      <w:r>
        <w:t>It is used to measure the communitys operating performance including debt interest payments, before taking into account its investment policy.</w:t>
      </w:r>
    </w:p>
    <w:p w14:paraId="3F0B0FA1" w14:textId="77777777" w:rsidR="000848FA" w:rsidRDefault="00000000">
      <w:r>
        <w:t>Within this framework, related‑party transactions are those with companies owned directly or indirectly by the same final shareholders, in particular the subsidiaries of Caisse des Dépôts group, and with directors.</w:t>
      </w:r>
    </w:p>
    <w:p w14:paraId="26635846" w14:textId="77777777" w:rsidR="000848FA" w:rsidRDefault="00000000">
      <w:r>
        <w:t>Transition risk is the financial loss resulting from the process of transitioning to a low‑carbon and environmentally sustainable economy and may be attributable to climate or environmental factors, such as policy changes, regulations, technologies or market sentiment.</w:t>
      </w:r>
    </w:p>
    <w:p w14:paraId="4C3E4587" w14:textId="275677D0" w:rsidR="000848FA" w:rsidRDefault="00000000">
      <w:r>
        <w:t>In addition, without being exhaustive, Sfil implemented various actions in 2023, A score measuring transition risk that is intended to assess transition challenges for local authorities and drawn up on the basis of the various studies carried out to date, i a study carried out in 2022 by the Institute for the Climate Economy I4CE, sponsored by Sfil and ADEME, in order to quantify investment needs of local authorities as part of the transition to a low‑carbon economy, as defined by the National Low Carbon Strateg</w:t>
      </w:r>
      <w:r w:rsidR="00F07FDC">
        <w:t>y.</w:t>
      </w:r>
    </w:p>
    <w:p w14:paraId="0BFE2C8E" w14:textId="77777777" w:rsidR="000848FA" w:rsidRDefault="00000000">
      <w:r>
        <w:t>Basis for opinion Audit framework We conducted our audit in accordance with professional standards applicable in France.</w:t>
      </w:r>
    </w:p>
    <w:p w14:paraId="30FFF544" w14:textId="77777777" w:rsidR="000848FA" w:rsidRDefault="00000000">
      <w:r>
        <w:t>With the support of experts in the valuation of financial instruments included in the audit team, we designed an approach including the following main stages, Derivatives measured at fair value Assets classified at fair value through profit and loss non SPPI loans We have also assessed criteria used to determine the fair value hierarchy using a sample of financial instruments.</w:t>
      </w:r>
    </w:p>
    <w:p w14:paraId="6670F596" w14:textId="77777777" w:rsidR="000848FA" w:rsidRDefault="00000000">
      <w:r>
        <w:t>The Financial statements Committee is responsible for monitoring the financial reporting process and the effectiveness of internal control and risks management systems and where applicable, its internal audit, regarding the accounting and financial reporting procedures.</w:t>
      </w:r>
    </w:p>
    <w:p w14:paraId="168A6B10" w14:textId="77777777" w:rsidR="000848FA" w:rsidRDefault="00000000">
      <w:r>
        <w:lastRenderedPageBreak/>
        <w:t>The statutory auditor is responsible for the direction, supervision and performance of the audit of the consolidated financial statements and for the opinion expressed on these consolidated financial statements.</w:t>
      </w:r>
    </w:p>
    <w:p w14:paraId="573A0A0C" w14:textId="77777777" w:rsidR="000848FA" w:rsidRDefault="00000000">
      <w:r>
        <w:t>In the framework of a restructuring, they are by way of exception amortized when they constitute an expense in compliance with the tax rule.</w:t>
      </w:r>
    </w:p>
    <w:p w14:paraId="68A041E7" w14:textId="77777777" w:rsidR="000848FA" w:rsidRDefault="00000000">
      <w:r>
        <w:t>Basis for opinion Audit framework We conducted our audit in accordance with professional standards applicable in France.</w:t>
      </w:r>
    </w:p>
    <w:p w14:paraId="670D290F" w14:textId="77777777" w:rsidR="000848FA" w:rsidRDefault="00000000">
      <w:r>
        <w:t>The Financial statements Committee is responsible for monitoring the financial reporting process and the effectiveness of internal control and risks management systems and where applicable, its internal audit, regarding the accounting and financial reporting procedures.</w:t>
      </w:r>
    </w:p>
    <w:sectPr w:rsidR="000848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71608494">
    <w:abstractNumId w:val="8"/>
  </w:num>
  <w:num w:numId="2" w16cid:durableId="842206706">
    <w:abstractNumId w:val="6"/>
  </w:num>
  <w:num w:numId="3" w16cid:durableId="851837630">
    <w:abstractNumId w:val="5"/>
  </w:num>
  <w:num w:numId="4" w16cid:durableId="2123920310">
    <w:abstractNumId w:val="4"/>
  </w:num>
  <w:num w:numId="5" w16cid:durableId="1494830881">
    <w:abstractNumId w:val="7"/>
  </w:num>
  <w:num w:numId="6" w16cid:durableId="1953316012">
    <w:abstractNumId w:val="3"/>
  </w:num>
  <w:num w:numId="7" w16cid:durableId="1186944022">
    <w:abstractNumId w:val="2"/>
  </w:num>
  <w:num w:numId="8" w16cid:durableId="765199385">
    <w:abstractNumId w:val="1"/>
  </w:num>
  <w:num w:numId="9" w16cid:durableId="154227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8FA"/>
    <w:rsid w:val="00111E91"/>
    <w:rsid w:val="0015074B"/>
    <w:rsid w:val="0029639D"/>
    <w:rsid w:val="00326F90"/>
    <w:rsid w:val="005235FB"/>
    <w:rsid w:val="00672963"/>
    <w:rsid w:val="0076480E"/>
    <w:rsid w:val="00A1362C"/>
    <w:rsid w:val="00AA1D8D"/>
    <w:rsid w:val="00B47730"/>
    <w:rsid w:val="00CB0664"/>
    <w:rsid w:val="00F07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04C14"/>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5687</Words>
  <Characters>32422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2025-08-12T13:50:00Z</dcterms:modified>
  <cp:category/>
</cp:coreProperties>
</file>