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95F9" w14:textId="77777777" w:rsidR="00862D60" w:rsidRDefault="00000000">
      <w:r>
        <w:t>This success is based, above all, on the all-round solidity of our public development bank model, along with the commitment of Sfils employees, whom I warmly thank, and that of our reference shareholder, Caisse des Dépôts, our directors, our partners La Banque Postale and Banque des Territoires as well as all the banks that support us on our issues and those with which we collaborate for export credit.</w:t>
      </w:r>
    </w:p>
    <w:p w14:paraId="02014C59" w14:textId="77777777" w:rsidR="00862D60" w:rsidRDefault="00000000">
      <w:r>
        <w:t>We have granted more than EUR 2 billion in green and social loans to local authorities, tangible proof of our resolute commitment to support the regions in their environmental transition and in terms of social cohesion.</w:t>
      </w:r>
    </w:p>
    <w:p w14:paraId="06DAB279" w14:textId="77777777" w:rsidR="00862D60" w:rsidRDefault="00000000">
      <w:r>
        <w:t>The environmental and social transition is at the heart of our strategy.</w:t>
      </w:r>
    </w:p>
    <w:p w14:paraId="0EFD9205" w14:textId="77777777" w:rsidR="00862D60" w:rsidRDefault="00000000">
      <w:r>
        <w:t>In 2025, we will integrate these ratings into our financing granting process, to better support our customers in the lowcarbon transition.</w:t>
      </w:r>
    </w:p>
    <w:p w14:paraId="30D78DEB" w14:textId="77777777" w:rsidR="00862D60" w:rsidRDefault="00000000">
      <w:r>
        <w:t>The objective of public development banks is not to maximize their profit or market share, but to carry out public policy missions entrusted to them by the public authorities central government, region or local authorities in order to compensate for identified market failures while ensuring their own viability.</w:t>
      </w:r>
    </w:p>
    <w:p w14:paraId="586C3F3B" w14:textId="77777777" w:rsidR="00862D60" w:rsidRDefault="00000000">
      <w:r>
        <w:t>Caffilʼs obligations foncières Sfilʼs bond issues Certificates of deposit program Lastly, in line with its sustainable development policy, in order to support its borrowers in their investments in favor of the environmental transition and social cohesion, the Sfil Group has issued green and social bonds since 2019.</w:t>
      </w:r>
    </w:p>
    <w:p w14:paraId="4BC2AE3C" w14:textId="77777777" w:rsidR="00862D60" w:rsidRDefault="00000000">
      <w:r>
        <w:t>These issues are governed by the Green, Social and Sustainability Bond Framework of October 2022.</w:t>
      </w:r>
    </w:p>
    <w:p w14:paraId="06A31655" w14:textId="77777777" w:rsidR="00862D60" w:rsidRDefault="00000000">
      <w:r>
        <w:t>It has also included among its objectives to make a substantial contribution to the financing of French large export contracts that include significant environmental andor social benefits.</w:t>
      </w:r>
    </w:p>
    <w:p w14:paraId="399C68E3" w14:textId="77777777" w:rsidR="00862D60" w:rsidRDefault="00000000">
      <w:r>
        <w:t>Green loans territorial mobility and soft urban transport renewable energy low-carbon energy energy efficiency of construction and urban development sustainable water and sanitation waste management and valuation Sustainable bonds Green bonds Social bonds Green, social and sustainable issue program access to essential services renewal and cohesion of territories affordable basic infrastructure Social loans The Sfil Group has already issued social issues to finance the French public hospital sector in a separate program, the Social Note Framework.</w:t>
      </w:r>
    </w:p>
    <w:p w14:paraId="4070942C" w14:textId="77777777" w:rsidR="00862D60" w:rsidRDefault="00000000">
      <w:r>
        <w:t>Accompanying the environmental and energy transition and supporting regional cohesion As the leading public investors in France, local authorities play a key role in achieving Frances carbon neutrality objectives by 2050, formalized in the National low‑carbon strategy.</w:t>
      </w:r>
    </w:p>
    <w:p w14:paraId="39F12F4E" w14:textId="77777777" w:rsidR="00862D60" w:rsidRDefault="00000000">
      <w:r>
        <w:t>However, despite this clear increase in efforts at the local level, local authorities will need to more than double their investments to cross the climate investment wall.</w:t>
      </w:r>
    </w:p>
    <w:p w14:paraId="74B09C93" w14:textId="77777777" w:rsidR="00862D60" w:rsidRDefault="00000000">
      <w:r>
        <w:lastRenderedPageBreak/>
        <w:t>As announced in December 2023 when announcing its 2030 targets to reduce the financed emissions of its portfolios, Sfil supports the efforts of its clients in favor of the energy and environmental transition in the countries of destination by an even stronger mobilization of thematic loans over the 2024‑2030 period see 2.</w:t>
      </w:r>
    </w:p>
    <w:p w14:paraId="36739A0E" w14:textId="77777777" w:rsidR="00862D60" w:rsidRDefault="00000000">
      <w:r>
        <w:t>It is in line with the objectives of the public development bank model of Sfil.</w:t>
      </w:r>
    </w:p>
    <w:p w14:paraId="0BE9DF16" w14:textId="77777777" w:rsidR="00862D60" w:rsidRDefault="00000000">
      <w:r>
        <w:t>Subject to these reservations, the volume of thematic loans, particularly green loans, should continue increasing, encouraged by the adoption in 2025 of the new objectives of the National Low Carbon Strategy 3, the National Climate Change Adaptation Plan PNACC‑3 and the obligation for local authorities with more than 3,500 inhabitants to implement a green budget.</w:t>
      </w:r>
    </w:p>
    <w:p w14:paraId="261FF3DC" w14:textId="77777777" w:rsidR="00862D60" w:rsidRDefault="00000000">
      <w:r>
        <w:t>Contribution to the Sustainable Development Goals Sfil is a member of the United Nations Global Compact, a coalition of public and private actors that aims to propose solutions to global challenges, in close connection with the Sustainable Development Agenda and the 17 United Nations SDGs by 2030.</w:t>
      </w:r>
    </w:p>
    <w:p w14:paraId="32DB007C" w14:textId="77777777" w:rsidR="00862D60" w:rsidRDefault="00000000">
      <w:r>
        <w:t>The following sectors are therefore excluded, In addition, Sfil excludes the financing of the following activities due to their controversial nature and their negative societal impact, In accordance with the guidelines of the French export support policy in connection to fossil fuels, Sfil does not finance, These exclusions do not apply to operations that will reduce the negative environmental impact of or improve the safety of existing facilities or their impact on health, without increasing their lifetime or production capacity, or for the dismantling or conversion of these facilities.</w:t>
      </w:r>
    </w:p>
    <w:p w14:paraId="16AE6C6B" w14:textId="77777777" w:rsidR="00862D60" w:rsidRDefault="00000000">
      <w:r>
        <w:t>Sfil implemented a human resources management policy aligned with the principles of the following main international conventions, the Universal Declaration of Human Rights and its supplementary commitments, the fundamental conventions of the International Labor Organization and the ten principles of the United Nations Global Compact, including those relating to human rights.</w:t>
      </w:r>
    </w:p>
    <w:p w14:paraId="3C81F068" w14:textId="77777777" w:rsidR="00862D60" w:rsidRDefault="00000000">
      <w:r>
        <w:t>The compensation policy must, In addition, the compensation policy is in line with its objectives in terms of economic strategy, cost control, risk strategy, including environmental, social and governance criteria.</w:t>
      </w:r>
    </w:p>
    <w:p w14:paraId="5FF08DB6" w14:textId="77777777" w:rsidR="00862D60" w:rsidRDefault="00000000">
      <w:r>
        <w:t>The compensation policy is reviewed at least once a year by the Compensation Committee, in particular to take into account changes in French or European legislation on labor, accounting and tax law, as well as governance.</w:t>
      </w:r>
    </w:p>
    <w:p w14:paraId="2A796758" w14:textId="77777777" w:rsidR="00862D60" w:rsidRDefault="00000000">
      <w:r>
        <w:t>The implementation of the compensation policy is subject to a central and independent internal assessment once a year by the internal audit division General Inspection in order to verify compliance with the application of the current compensation policy and its effects on the risk profile.</w:t>
      </w:r>
    </w:p>
    <w:p w14:paraId="0E7E67D9" w14:textId="77777777" w:rsidR="00862D60" w:rsidRDefault="00000000">
      <w:r>
        <w:lastRenderedPageBreak/>
        <w:t>In addition, the Risks division and the Compliance division assess and analyze the impact of the variable compensation structure on the risk profile in an opinion issued to the Risks and Internal Control Committee.</w:t>
      </w:r>
    </w:p>
    <w:p w14:paraId="2262B13F" w14:textId="77777777" w:rsidR="00862D60" w:rsidRDefault="00000000">
      <w:r>
        <w:t>Employees working in the control functions are remunerated according to the objectives linked to their functions, independently of the performance of the operational divisions that they control.</w:t>
      </w:r>
    </w:p>
    <w:p w14:paraId="3F368751" w14:textId="77777777" w:rsidR="00862D60" w:rsidRDefault="00000000">
      <w:r>
        <w:t>The annual interview form makes it possible to record Risk Attitude objectives allowing managers to assign and assess this type of specific objective for all Sfil employees.</w:t>
      </w:r>
    </w:p>
    <w:p w14:paraId="29F20891" w14:textId="77777777" w:rsidR="00862D60" w:rsidRDefault="00000000">
      <w:r>
        <w:t>More generally, in the event of a significant financial loss or a severe economic downturn or when the payment of variable compensation could compromise the solidity of capital or liquidity, the Board of Directors may decide not to pay variable compensation for the period in question, in compliance with legal constraints and obligations.</w:t>
      </w:r>
    </w:p>
    <w:p w14:paraId="453F69DC" w14:textId="77777777" w:rsidR="00862D60" w:rsidRDefault="00000000">
      <w:r>
        <w:t>This assessment is based on the level of achievement of objectives where the qualitative aspect way of intervening in the markets, compliance with risk management procedures, quality of reporting, communication, etc.</w:t>
      </w:r>
    </w:p>
    <w:p w14:paraId="2CCCE5D4" w14:textId="77777777" w:rsidR="00862D60" w:rsidRDefault="00000000">
      <w:r>
        <w:t>Role of the Compensation Committee The duties of the Compensation Committee are as follows, it is responsible for preparing compensation decisions, particularly those that have repercussions on risk and risk management.</w:t>
      </w:r>
    </w:p>
    <w:p w14:paraId="4B99C5BD" w14:textId="77777777" w:rsidR="00862D60" w:rsidRDefault="00000000">
      <w:r>
        <w:t>Role of human resources control functions The Human Resources division produces the annual report used to assess the compensation policy by the control functions and presented to the Risks and Internal Control Committee mentioned above.</w:t>
      </w:r>
    </w:p>
    <w:p w14:paraId="6543C7B0" w14:textId="77777777" w:rsidR="00862D60" w:rsidRDefault="00000000">
      <w:r>
        <w:t>The implementation of the compensation policy is subject to a central and independent internal assessment by the internal audit department at least once a year.</w:t>
      </w:r>
    </w:p>
    <w:p w14:paraId="74509795" w14:textId="77777777" w:rsidR="00862D60" w:rsidRDefault="00000000">
      <w:r>
        <w:t>Link between compensation levels and actual performance Individual performance and variable compensation The link between variable compensation and employee performance is assessed during annual reviews with regard to the achievement of previously set individual objectives.</w:t>
      </w:r>
    </w:p>
    <w:p w14:paraId="52D41781" w14:textId="77777777" w:rsidR="00862D60" w:rsidRDefault="00000000">
      <w:r>
        <w:t>Managers assess each employee on the basis of their overall performance, a combination of achievements business performance and demonstrated professional behavior.</w:t>
      </w:r>
    </w:p>
    <w:p w14:paraId="2D968AC1" w14:textId="77777777" w:rsidR="00862D60" w:rsidRDefault="00000000">
      <w:r>
        <w:t>In close collaboration with the Human Resources division, each function proposes to allocate all or part of its budget according to the achievement of the individual performance objectives of each employee objectives set in advance during annual interviews.</w:t>
      </w:r>
    </w:p>
    <w:p w14:paraId="0355CE42" w14:textId="77777777" w:rsidR="00862D60" w:rsidRDefault="00000000">
      <w:r>
        <w:t>Terms and conditions for the payment of variable compensation The amounts of variable compensation are paid in the first half of N+1, depending on the achievement of individual and collective performance objectives for year N.</w:t>
      </w:r>
    </w:p>
    <w:p w14:paraId="0DD659AD" w14:textId="77777777" w:rsidR="00862D60" w:rsidRDefault="00000000">
      <w:r>
        <w:lastRenderedPageBreak/>
        <w:t>In addition, the spreading of variable compensation as a reminder, paid exclusively in cash for the identified population and all employees is applicable for any variable compensation granted during a year.</w:t>
      </w:r>
    </w:p>
    <w:p w14:paraId="733AEEF4" w14:textId="77777777" w:rsidR="00862D60" w:rsidRDefault="00000000">
      <w:r>
        <w:t>Variable compensation means all bonuses calculated on the basis of the achievement of previously defined individual andor collective objectives received by the employee for the year.</w:t>
      </w:r>
    </w:p>
    <w:p w14:paraId="36EDEDD1" w14:textId="77777777" w:rsidR="00862D60" w:rsidRDefault="00000000">
      <w:r>
        <w:t>The deferred amount of the variable compensation will be paid in years N+2, N+3, N+4 and N+5 and is divided into two equal portions, Ex‑post adjustment mechanism for variable compensation The unpaid deferred portion of the variable compensation may be reduced to nil if the Gross Operating Profit loss proves to be negative, or if the level of capital is insufficient according to the assessment of the Board of Directors.</w:t>
      </w:r>
    </w:p>
    <w:p w14:paraId="60C94969" w14:textId="31EFE22D" w:rsidR="00862D60" w:rsidRDefault="00000000">
      <w:r>
        <w:t>Employees whose activities have a significant impact on the risk profile Principles Sfil defined specific rules that apply to a target population</w:t>
      </w:r>
      <w:r w:rsidR="005D543D">
        <w:t>.</w:t>
      </w:r>
    </w:p>
    <w:p w14:paraId="25121CDC" w14:textId="77777777" w:rsidR="00862D60" w:rsidRDefault="00000000">
      <w:r>
        <w:t>To the stakeholders who take an active part in the management of the bank as well as to employees whose activity has a significant impact on its risk profile.</w:t>
      </w:r>
    </w:p>
    <w:p w14:paraId="42E9E3FC" w14:textId="77777777" w:rsidR="00862D60" w:rsidRDefault="00000000">
      <w:r>
        <w:t>The compensation of the Chief Executive Officer is composed of a fixed compensation and a variable compensation based on the achievement of individual objectives allocated by the Board of Directors.</w:t>
      </w:r>
    </w:p>
    <w:p w14:paraId="21DC2000" w14:textId="77777777" w:rsidR="00862D60" w:rsidRDefault="00000000">
      <w:r>
        <w:t>Cross‑functional objectives contribute half of their annual performance and are defined by the Board of Directors.</w:t>
      </w:r>
    </w:p>
    <w:p w14:paraId="14C47798" w14:textId="77777777" w:rsidR="00862D60" w:rsidRDefault="00000000">
      <w:r>
        <w:t>Compensation of employees performing internal control functions Employees working in the control functions are remunerated according to the objectives linked to their functions, independently of the performance of the operational divisions that they control.</w:t>
      </w:r>
    </w:p>
    <w:p w14:paraId="502CC2A8" w14:textId="77777777" w:rsidR="00862D60" w:rsidRDefault="00000000">
      <w:r>
        <w:t>Their compensation fixed compensation and variable compensation awarded is directly supervised by the Compensation Committee, which ensures that the level of compensation is sufficient to ensure the recruitment and retention of employees with the required skills and qualifications and that the compensation does not contain any components inappropriate for these functions.</w:t>
      </w:r>
    </w:p>
    <w:p w14:paraId="603488F6" w14:textId="77777777" w:rsidR="00862D60" w:rsidRDefault="00000000">
      <w:r>
        <w:t>At the end of 2023, Sfil signed a mandatory annual negotiation agreement for 2024 with its social partners including a general fixed salary increase.</w:t>
      </w:r>
    </w:p>
    <w:p w14:paraId="5A772EB7" w14:textId="77777777" w:rsidR="00862D60" w:rsidRDefault="00000000">
      <w:r>
        <w:t>Thus, the achievement of the objectives concerning the reduction of the volume of IT data storage, the level of the professional equality index and the proportion of green and social loans granted to the French local public sector each year are taken into account for the calculation of the collective performance of Sfil determining the profit‑sharing budget for the year.</w:t>
      </w:r>
    </w:p>
    <w:p w14:paraId="29480B28" w14:textId="77777777" w:rsidR="00862D60" w:rsidRDefault="00000000">
      <w:r>
        <w:lastRenderedPageBreak/>
        <w:t>This agreement enables, The agreement applicable to 2024 provides that its social and economic committee meets at least eight times a year and is consulted annually on the strategy, financial situation and labor relations policy of Sfil.</w:t>
      </w:r>
    </w:p>
    <w:p w14:paraId="4BE0CDDB" w14:textId="77777777" w:rsidR="00862D60" w:rsidRDefault="00000000">
      <w:r>
        <w:t>These results demonstrate that employees appreciate the human dimension of Sfil, and are ready to make a commitment to implement the strategy of the Sfil Group.</w:t>
      </w:r>
    </w:p>
    <w:p w14:paraId="0A46199D" w14:textId="77777777" w:rsidR="00862D60" w:rsidRDefault="00000000">
      <w:r>
        <w:t>Work organization and absenteeism 2024 Number of employees % of employees Part‑time employees 30 8% Employees benefiting from the remote working agreement 412 100% Employees with flat daily rate 354 86% Employees with hourly rate 58 14% In 2024, the absenteeism rate related to illness, workcommuting Health and safety Review of agreements signed with trade unions or employee representatives on occupational health and safety In 2024, Sfil reaffirmed its commitment to diversity and inclusion by adopting a policy based on three main areas, The inclusion of people with disabilities is an essential part of the diversity and inclusion policy.</w:t>
      </w:r>
    </w:p>
    <w:p w14:paraId="3E51415A" w14:textId="77777777" w:rsidR="00862D60" w:rsidRDefault="00000000">
      <w:r>
        <w:t>Based on the agreement on the integration of disabled workers renegotiated in 2023, Sfil continued carrying out numerous actions that demonstrate its commitment to disability recruitment, collaboration with the adapted and sheltered sector, awareness‑raising and training of employees, actions to maintain employment and anticipate situations of professional incapacity.</w:t>
      </w:r>
    </w:p>
    <w:p w14:paraId="4E44DEB4" w14:textId="77777777" w:rsidR="00862D60" w:rsidRDefault="00000000">
      <w:r>
        <w:t>The main themes of the training policy reflect the #Objectif2026 strategic plan and training preferences expressed by employees in various one‑to‑one or group meetings notably career reviews, professional interviews, evaluation interviews, social barometer involving the human resources and operational teams.</w:t>
      </w:r>
    </w:p>
    <w:p w14:paraId="43208465" w14:textId="77777777" w:rsidR="00862D60" w:rsidRDefault="00000000">
      <w:r>
        <w:t>The members of the Executive Committee are involved in the co‑construction of the training policy, in conjunction with the elected representatives of the Works Council.</w:t>
      </w:r>
    </w:p>
    <w:p w14:paraId="5183EAD6" w14:textId="77777777" w:rsidR="00862D60" w:rsidRDefault="00000000">
      <w:r>
        <w:t>The actions deployed aim to optimize employees employability and promote professional mobility and career development within a managed framework.</w:t>
      </w:r>
    </w:p>
    <w:p w14:paraId="4CD4ECE8" w14:textId="77777777" w:rsidR="00862D60" w:rsidRDefault="00000000">
      <w:r>
        <w:t>At the heart of the training policy is the idea that each individual is unique and deserves a tailor‑made learning path.</w:t>
      </w:r>
    </w:p>
    <w:p w14:paraId="1F915FF8" w14:textId="77777777" w:rsidR="00862D60" w:rsidRDefault="00000000">
      <w:r>
        <w:t>Through this varied approach, Sfil promotes the personal and professional development of its employees, enabling them to acquire the knowledge and skills necessary to excel in their role and grow within the organization.</w:t>
      </w:r>
    </w:p>
    <w:p w14:paraId="271B5ED9" w14:textId="77777777" w:rsidR="00862D60" w:rsidRDefault="00000000">
      <w:r>
        <w:t>These elements demonstrate a significant increase in training activity compared to 2023, when 9,216 training hours were provided.</w:t>
      </w:r>
    </w:p>
    <w:p w14:paraId="601275AF" w14:textId="77777777" w:rsidR="00862D60" w:rsidRDefault="00000000">
      <w:r>
        <w:t>This increase is due to several key factors, the regularity of training sessions, the close monitoring of employee needs, the commitment of teams to promote professional development and maximum respect for the wishes expressed by employees.</w:t>
      </w:r>
    </w:p>
    <w:p w14:paraId="3F39A606" w14:textId="77777777" w:rsidR="00862D60" w:rsidRDefault="00000000">
      <w:r>
        <w:lastRenderedPageBreak/>
        <w:t>Equal treatment Policy against harassment, discrimination and sexist behavior The mechanism set against harassment, discrimination and sexist behavior is based on several pillars, The objective of these systems is to prevent and resolve situations at work inducing a risk of non‑compliance with the principles of equal treatment, non‑discrimination and non‑sexual or psychological harassment, cases of racist or discriminatory abuse and sexist behavior.</w:t>
      </w:r>
    </w:p>
    <w:p w14:paraId="21A2F9CA" w14:textId="77777777" w:rsidR="00862D60" w:rsidRDefault="00000000">
      <w:r>
        <w:t>In 2024, Sfil adopted its new diversity and inclusion policy applicable to all employees.</w:t>
      </w:r>
    </w:p>
    <w:p w14:paraId="04558A69" w14:textId="77777777" w:rsidR="00862D60" w:rsidRDefault="00000000">
      <w:r>
        <w:t>This policy was accompanied by the publication of a best practices guide given to all supervisors as well as to all new employees.</w:t>
      </w:r>
    </w:p>
    <w:p w14:paraId="60AB9152" w14:textId="77777777" w:rsidR="00862D60" w:rsidRDefault="00000000">
      <w:r>
        <w:t>Sfil continued developing the actions stemming from its partnerships with the French Association of Diversity Managers and L'Autre Cercle as part of its LGBT+ inclusion policy, with Sfil employees having direct access via the intranet to the SOS Homophobia crisis line.</w:t>
      </w:r>
    </w:p>
    <w:p w14:paraId="30F2D2F4" w14:textId="77777777" w:rsidR="00862D60" w:rsidRDefault="00000000">
      <w:r>
        <w:t>Measures taken to promote gender equality In 2024 as in 2023, Sfil continued applying its professional equality agreement and meet its commitments with regard to monitoring the following indicators, In accordance with the Avenir law of September 5, 2018 which seeks to eliminate the gender pay gap, at the beginning of 2025, Sfil published the level of its Gender Equality Index for 2024, which reached 93 points out of a maximum of 100 points.</w:t>
      </w:r>
    </w:p>
    <w:p w14:paraId="6E939E26" w14:textId="77777777" w:rsidR="00862D60" w:rsidRDefault="00000000">
      <w:r>
        <w:t>The ratio of fixed and variable pay of employees by classification and gender at the end of 2024 is detailed below, the application of a specific procedure which involves, depending on the situation, the Employer and SEC contacts responsible for combating harassment and sexist behavior as well as one of the three human risk contacts or the internal mediator.</w:t>
      </w:r>
    </w:p>
    <w:p w14:paraId="30270AE5" w14:textId="77777777" w:rsidR="00862D60" w:rsidRDefault="00000000">
      <w:r>
        <w:t>Taking them into account is key issue for financing activities, in particular to support the borrowers concerned in the expected investments for their ecological and environmental transition.</w:t>
      </w:r>
    </w:p>
    <w:p w14:paraId="129B7D95" w14:textId="77777777" w:rsidR="00862D60" w:rsidRDefault="00000000">
      <w:r>
        <w:t>Within the GHG Protocol, the PCAF Partnership for Carbon Accounting Financials framework specifies the principles applicable by financial players for the calculation of indirect Scope 3 emissions generated by their financing and investments category 15.</w:t>
      </w:r>
    </w:p>
    <w:p w14:paraId="722D7027" w14:textId="77777777" w:rsidR="00862D60" w:rsidRDefault="00000000">
      <w:r>
        <w:t>Emissions can be communicated in absolute emissions or intensity, depending on the relevance of the approach for each scope.</w:t>
      </w:r>
    </w:p>
    <w:p w14:paraId="54347CC1" w14:textId="77777777" w:rsidR="00862D60" w:rsidRDefault="00000000">
      <w:r>
        <w:t>In 2024, Sfil carried out work to improve the calculation of downstream Scope 3 for the financing of road infrastructure.</w:t>
      </w:r>
    </w:p>
    <w:p w14:paraId="7CA2EA3A" w14:textId="77777777" w:rsidR="00862D60" w:rsidRDefault="00000000">
      <w:r>
        <w:t>These two measures are correlated with the breakdown by budget function, reflecting an over‑representation of emissions related to road transport.</w:t>
      </w:r>
    </w:p>
    <w:p w14:paraId="1100A56A" w14:textId="77777777" w:rsidR="00862D60" w:rsidRDefault="00000000">
      <w:r>
        <w:t>This change was correlated with the increase in refinancing granted in this sector nine transactions representing more than EUR 2 billion in financing granted between 2021 and 2024 and the update of the associated emission factors.</w:t>
      </w:r>
    </w:p>
    <w:p w14:paraId="60D68E06" w14:textId="67F6CA9B" w:rsidR="00862D60" w:rsidRDefault="00000000">
      <w:r>
        <w:lastRenderedPageBreak/>
        <w:t xml:space="preserve">Local public sector </w:t>
      </w:r>
      <w:proofErr w:type="gramStart"/>
      <w:r>
        <w:t>The</w:t>
      </w:r>
      <w:proofErr w:type="gramEnd"/>
      <w:r>
        <w:t xml:space="preserve"> benchmark of the decarbonization trajectory was reassessed at 129 </w:t>
      </w:r>
      <w:proofErr w:type="spellStart"/>
      <w:proofErr w:type="gramStart"/>
      <w:r>
        <w:t>gCO</w:t>
      </w:r>
      <w:proofErr w:type="spellEnd"/>
      <w:r w:rsidR="005D543D">
        <w:t xml:space="preserve"> </w:t>
      </w:r>
      <w:r>
        <w:t xml:space="preserve"> compared</w:t>
      </w:r>
      <w:proofErr w:type="gramEnd"/>
      <w:r>
        <w:t xml:space="preserve"> to 153 </w:t>
      </w:r>
      <w:proofErr w:type="spellStart"/>
      <w:r>
        <w:t>gCO</w:t>
      </w:r>
      <w:proofErr w:type="spellEnd"/>
      <w:r>
        <w:t xml:space="preserve"> previously assessed following the work undertaken in 2024 to improve the measurement of financed emissions resulting from loans to the local public sector.</w:t>
      </w:r>
    </w:p>
    <w:p w14:paraId="22137710" w14:textId="77777777" w:rsidR="00862D60" w:rsidRDefault="00000000">
      <w:r>
        <w:t>The portfolio decarbonization target is based on the SNBC, which is Frances action plan to reduce its greenhouse gas emissions by 2050, in line with the Paris Agreement.</w:t>
      </w:r>
    </w:p>
    <w:p w14:paraId="5FCB7674" w14:textId="77777777" w:rsidR="00862D60" w:rsidRDefault="00000000">
      <w:r>
        <w:t>Consequently, the decarbonization trajectory of the local authorities and public hospitals portfolio is based on two dynamics, 2 Frances National Low Carbon Strategy revised version of 2018‑2019.</w:t>
      </w:r>
    </w:p>
    <w:p w14:paraId="1B8C3196" w14:textId="77777777" w:rsidR="00862D60" w:rsidRDefault="00000000">
      <w:r>
        <w:t>Shipping Sfil aims to support the transition efforts of the shipping sector and in particular the cruise sub‑sector, by financing the construction of less polluting and more low‑carbon vessels.</w:t>
      </w:r>
    </w:p>
    <w:p w14:paraId="6C56FB1E" w14:textId="77777777" w:rsidR="00862D60" w:rsidRDefault="00000000">
      <w:r>
        <w:t>The Poseidon Principles provide a common framework for assessing and disclosing the climate alignment of shipping finance portfolios.</w:t>
      </w:r>
    </w:p>
    <w:p w14:paraId="10FD8561" w14:textId="3DD032C0" w:rsidR="00862D60" w:rsidRDefault="00000000">
      <w:r>
        <w:t xml:space="preserve">In addition, the Poseidon Principles are in line with the policies and ambition of the International Maritime Organization </w:t>
      </w:r>
      <w:r w:rsidR="00EC5854">
        <w:t>n</w:t>
      </w:r>
      <w:r>
        <w:t>et zero by 2050 with intermediate objectives in 2030 and in 2040.</w:t>
      </w:r>
    </w:p>
    <w:p w14:paraId="68F282D9" w14:textId="45521B1E" w:rsidR="00862D60" w:rsidRDefault="00000000">
      <w:r>
        <w:t>Power generation According to International Energy Agency projection</w:t>
      </w:r>
      <w:r w:rsidR="00346F20">
        <w:t xml:space="preserve">, </w:t>
      </w:r>
      <w:proofErr w:type="gramStart"/>
      <w:r>
        <w:t>in order to</w:t>
      </w:r>
      <w:proofErr w:type="gramEnd"/>
      <w:r>
        <w:t xml:space="preserve"> enable the energy transition, worldwide natural‑gas‑related capacity need to increase from 1,829 GW in 2020 to 1,950 GW in 2030, particularly in developing economies, in which Sfil is liable to refinance export credits given its status as a public development bank.</w:t>
      </w:r>
    </w:p>
    <w:p w14:paraId="3A92A9E8" w14:textId="77777777" w:rsidR="00862D60" w:rsidRDefault="00000000">
      <w:r>
        <w:t>Electricity production 2024 Outstanding* EUR millions 322 Intensity in CO e kWh 163 Decarbonization levers The growth in known‑use‑of‑proceeds loans, which are less carbon intensive, is an essential lever for achieving the decarbonization objectives that Sfil has set and for limiting the social‑related impacts to the ecological transition through social investments.</w:t>
      </w:r>
    </w:p>
    <w:p w14:paraId="278CF26A" w14:textId="77777777" w:rsidR="00862D60" w:rsidRDefault="00000000">
      <w:r>
        <w:t>In addition, Sfil also plans to mobilize nearly EUR 12 billion in social loans over this period to support French public hospitals and local authorities.</w:t>
      </w:r>
    </w:p>
    <w:p w14:paraId="653C8AC5" w14:textId="77777777" w:rsidR="00862D60" w:rsidRDefault="00000000">
      <w:r>
        <w:t>As such, Sfil aims to increase to 33% the proportion of green, social and sustainable bonds.</w:t>
      </w:r>
    </w:p>
    <w:p w14:paraId="5EA4A598" w14:textId="77777777" w:rsidR="00862D60" w:rsidRDefault="00000000">
      <w:r>
        <w:t>Impacts of the operating scope In line with the consideration of sustainability in its strategy, Sfil strives to reduce the environmental impacts generated by its internal operations.</w:t>
      </w:r>
    </w:p>
    <w:p w14:paraId="6D71A5FC" w14:textId="77777777" w:rsidR="00862D60" w:rsidRDefault="00000000">
      <w:r>
        <w:t>In addition to obtaining HQE High Environmental Quality, BREEAM Building Research Establishment Environmental Assessment Method and BiodiverCity labels, this was one of the first projects in Paris to be recognized by the demanding BBCA Low‑Carbon Building Renovation label.</w:t>
      </w:r>
    </w:p>
    <w:p w14:paraId="3BF9B8B9" w14:textId="77777777" w:rsidR="00862D60" w:rsidRDefault="00000000">
      <w:r>
        <w:lastRenderedPageBreak/>
        <w:t>For this, Sfil has implemented concrete measures to reduce its electricity consumption by 15% to 20%, Resource conservation and waste reduction On a daily basis, Sfil is attentive to limiting the environmental impacts of its operations and has implemented measures to preserve resources.</w:t>
      </w:r>
    </w:p>
    <w:p w14:paraId="76305491" w14:textId="77777777" w:rsidR="00862D60" w:rsidRDefault="00000000">
      <w:r>
        <w:t>With regard to waste, Sfil has set up selective sorting bins for glass as well as cigarette butts recycling containers at the entrance to its head office in order to improve its selective sorting practices and raise awareness among its employees.</w:t>
      </w:r>
    </w:p>
    <w:p w14:paraId="372923D4" w14:textId="77777777" w:rsidR="00862D60" w:rsidRDefault="00000000">
      <w:r>
        <w:t>Sfil also regularly implements awareness‑raising actions and encourages initiatives proposed by its employees.</w:t>
      </w:r>
    </w:p>
    <w:p w14:paraId="40505E19" w14:textId="77777777" w:rsidR="00862D60" w:rsidRDefault="00000000">
      <w:r>
        <w:t>Protection of biodiversity During 2024, Sfil continued its actions to raise awareness among its employees about the challenges of protecting biodiversity through the organization of several events, in particular, Raising awareness Sfil continued rolling out its e‑learning module dedicated to the ecological transition and CSR.</w:t>
      </w:r>
    </w:p>
    <w:p w14:paraId="6636B601" w14:textId="77777777" w:rsidR="00862D60" w:rsidRDefault="00000000">
      <w:r>
        <w:t>Regional employment and development Sfil has provided, Partnership or sponsorship activities Sfil continued its commitments through various donations and sponsorship actions.</w:t>
      </w:r>
    </w:p>
    <w:p w14:paraId="5BF124CB" w14:textId="77777777" w:rsidR="00862D60" w:rsidRDefault="00000000">
      <w:r>
        <w:t>Its purpose is to create a space focused on living things and allow employees to reconnect with nature by offering them gardening workshops, activities and sharing the harvests.</w:t>
      </w:r>
    </w:p>
    <w:p w14:paraId="4D1D772E" w14:textId="77777777" w:rsidR="00862D60" w:rsidRDefault="00000000">
      <w:r>
        <w:t>Sfil has set up a new partnership with the DGGN Directorate General of the National Gendarmerie and since the summer of 2024 has proposed job offers to gendarmerie officers undergoing career changes, partners of gendarmerie officers when they follow their spouses as well as internships or work‑study programs for police wards.</w:t>
      </w:r>
    </w:p>
    <w:p w14:paraId="7E720E14" w14:textId="77777777" w:rsidR="00862D60" w:rsidRDefault="00000000">
      <w:r>
        <w:t>In addition, since 2023, Sfil has been a signatory of the agreement to support operational reserve policies with the French Ministry of the Armed Forces, which facilitates the exercise of Sfil reservist employees.</w:t>
      </w:r>
    </w:p>
    <w:p w14:paraId="78930475" w14:textId="77777777" w:rsidR="00862D60" w:rsidRDefault="00000000">
      <w:r>
        <w:t>The partnership with microDON was sustained and employees were able to maintain their commitment via wage rounding with two partner associations, Planète Urgence concrete ecosystem rehabilitation and reforestation missions and the E2C France network the Second Chance School École de la deuxième chance.</w:t>
      </w:r>
    </w:p>
    <w:p w14:paraId="3B1EEBA0" w14:textId="77777777" w:rsidR="00862D60" w:rsidRDefault="00000000">
      <w:r>
        <w:t>E2C's training is based on a triptych combining the development of learning, experience in a company and support for inclusion.</w:t>
      </w:r>
    </w:p>
    <w:p w14:paraId="2C421AFD" w14:textId="77777777" w:rsidR="00862D60" w:rsidRDefault="00000000">
      <w:r>
        <w:t>The purchases policy stipulates that the Company promotes sustainable and socially responsible purchases whenever its various constraints allow.</w:t>
      </w:r>
    </w:p>
    <w:p w14:paraId="7F1228C8" w14:textId="77777777" w:rsidR="00862D60" w:rsidRDefault="00000000">
      <w:r>
        <w:t>In the context of calls for tender, the final decision is based in particular on the service providers compliance with ethical and socially responsible values.</w:t>
      </w:r>
    </w:p>
    <w:p w14:paraId="76B38ECB" w14:textId="77777777" w:rsidR="00862D60" w:rsidRDefault="00000000">
      <w:r>
        <w:lastRenderedPageBreak/>
        <w:t>Moreover, with regard to suppliers of intellectual services, which represent nearly one‑third of total purchases, internal supplier evaluation campaigns systematically take into account social ethics practices perceived through the services provided.</w:t>
      </w:r>
    </w:p>
    <w:p w14:paraId="6179F19D" w14:textId="77777777" w:rsidR="00862D60" w:rsidRDefault="00000000">
      <w:r>
        <w:t>Framework agreements that Sfil has adopted remind suppliers of the tax and social legislation and statutory labor provisions in force as regards the performance of services.</w:t>
      </w:r>
    </w:p>
    <w:p w14:paraId="1E36F538" w14:textId="77777777" w:rsidR="00862D60" w:rsidRDefault="00000000">
      <w:r>
        <w:t>Compensation of directors It is proposed to the Ordinary Shareholders Meeting to increase the total amount of compensation allocated annually to the Board of Directors from EUR 270,000 to EUR 300,000, for the current financial year and for each of the following financial years.</w:t>
      </w:r>
    </w:p>
    <w:p w14:paraId="3D6A2F60" w14:textId="77777777" w:rsidR="00862D60" w:rsidRDefault="00000000">
      <w:r>
        <w:t>Amendments to the by‑laws The Extraordinary Shareholders Meeting of May 28, 2025 will be asked to amend the by‑laws articles 15, 16, 17, 24, 27, 29 and 30 relating to meetings of the Boards of Directors and Shareholders' Meetings in order notably to bring them into compliance with the new provisions resulting from the Attractiveness law no.</w:t>
      </w:r>
    </w:p>
    <w:p w14:paraId="2DA83B09" w14:textId="77777777" w:rsidR="00862D60" w:rsidRDefault="00000000">
      <w:r>
        <w:t>The Board regularly reviews all the work of the specialized committees, including those relating to internal audit, compliance and permanent control.</w:t>
      </w:r>
    </w:p>
    <w:p w14:paraId="29ED94D9" w14:textId="77777777" w:rsidR="00862D60" w:rsidRDefault="00000000">
      <w:r>
        <w:t>The Governance, Appointments and CSR Committee performs an analysis for each appointment based on an analysis grid that lists the different assessment criteria including the main areas of expertise sought by the Board for its candidates.</w:t>
      </w:r>
    </w:p>
    <w:p w14:paraId="1A7414BD" w14:textId="77777777" w:rsidR="00862D60" w:rsidRDefault="00000000">
      <w:r>
        <w:t>The composition of the Boards specialized committees has been modified as a result of the changes made at the level of the Board of Directors.</w:t>
      </w:r>
    </w:p>
    <w:p w14:paraId="724C4A35" w14:textId="77777777" w:rsidR="00862D60" w:rsidRDefault="00000000">
      <w:r>
        <w:t>The training provided in 2024 focused on governance, taking into account in particular the renewal of the Board of Directors, anti‑corruption, the interpretation of financial information, the regulatory framework and export credit.</w:t>
      </w:r>
    </w:p>
    <w:p w14:paraId="73C7D241" w14:textId="77777777" w:rsidR="00862D60" w:rsidRDefault="00000000">
      <w:r>
        <w:t>The actions planned as a result of this mission were largely implemented priority given to physical meetings, executive session of the Board of Directors, review of the compensation of directors, meetings between the Chairwoman and the Committee Chairpersons, etc.</w:t>
      </w:r>
    </w:p>
    <w:p w14:paraId="53DA0352" w14:textId="77777777" w:rsidR="00862D60" w:rsidRDefault="00000000">
      <w:r>
        <w:t>Among the new actions suggested are the importance of foresight in the context of the expected expansion of activities, the interest of the annual strategic seminar being once again underlined, the follow‑up of trends in sustainability and the developments related to artificial intelligence.</w:t>
      </w:r>
    </w:p>
    <w:p w14:paraId="6DBE366E" w14:textId="77777777" w:rsidR="00862D60" w:rsidRDefault="00000000">
      <w:r>
        <w:t>It took note of Statutory Auditors' audit approach for 2024 and examined the conditions of their independence and their services rendered other than the Statutory Audits.</w:t>
      </w:r>
    </w:p>
    <w:p w14:paraId="353B0B67" w14:textId="77777777" w:rsidR="00862D60" w:rsidRDefault="00000000">
      <w:r>
        <w:t>The first meeting of 2024 was specifically devoted to the review of the systems of the permanent and periodic control functions of Sfil and Caffil, in particular, operational and non‑compliance risk mapping, remediation plan, permanent control plans including compliance, the results of the Statutory Auditors' review on the internal control system.</w:t>
      </w:r>
    </w:p>
    <w:p w14:paraId="35314868" w14:textId="77777777" w:rsidR="00862D60" w:rsidRDefault="00000000">
      <w:r>
        <w:lastRenderedPageBreak/>
        <w:t>The participants of this first Committees meeting included only Committee members, the Statutory Auditors and the heads of internal control at Sfil the Risks Officer, the Compliance Officer and the General Auditor.</w:t>
      </w:r>
    </w:p>
    <w:p w14:paraId="3EB39D64" w14:textId="77777777" w:rsidR="00862D60" w:rsidRDefault="00000000">
      <w:r>
        <w:t>The following were also presented for review, the activity reports of the compliance function, the activity reports of the permanent control function, the activity report of internal audit, the report of the data protection officer, the report on internal models, the update of the functions considered as risk‑takers and the reports on internal control, including one dedicated to the fight against money laundering and the financing of terrorism.</w:t>
      </w:r>
    </w:p>
    <w:p w14:paraId="0BA9D67B" w14:textId="77777777" w:rsidR="00862D60" w:rsidRDefault="00000000">
      <w:r>
        <w:t>The Committee also decided on the organization of internal control, the removal of the use of the enhanced guarantee, the treatment using the standard model of the local public sector, the compliance with DORA and the updating of charters, policies and procedures.</w:t>
      </w:r>
    </w:p>
    <w:p w14:paraId="0D95D54C" w14:textId="77777777" w:rsidR="00862D60" w:rsidRDefault="00000000">
      <w:r>
        <w:t>It focused on the application of the gender diversity policy for management bodies.</w:t>
      </w:r>
    </w:p>
    <w:p w14:paraId="48248952" w14:textId="77777777" w:rsidR="00862D60" w:rsidRDefault="00000000">
      <w:r>
        <w:t>Lastly, the Committee reviewed the draft report on corporate governance and examined the sustainable development policy and report for 2023.</w:t>
      </w:r>
    </w:p>
    <w:p w14:paraId="3CB4D7EB" w14:textId="77777777" w:rsidR="00862D60" w:rsidRDefault="00000000">
      <w:r>
        <w:t>Sfil has a system that includes, The governance bodies contribute to the risk culture by communicating the values and fundamental expectations in terms of risk management with regard to the interests of Sfil.</w:t>
      </w:r>
    </w:p>
    <w:p w14:paraId="00CC3701" w14:textId="77777777" w:rsidR="00862D60" w:rsidRDefault="00000000">
      <w:r>
        <w:t>They also strive to implement a risk culture encouraging an open risk communication environment, enabling employees to raise awareness of any situation likely to have significant repercussions on risk management.</w:t>
      </w:r>
    </w:p>
    <w:p w14:paraId="3566D2AB" w14:textId="77777777" w:rsidR="00862D60" w:rsidRDefault="00000000">
      <w:r>
        <w:t>The risk appetite is formalized as follows, The principles underlying the risk appetite are as follows, the dissemination of the risk culture within each division, via i a network of internal control officers whose role is to ensure the link between the operational division and the control functions and ii an Internal Control Coordination Committee which meets regularly and is responsible for defining the risk culture policy.</w:t>
      </w:r>
    </w:p>
    <w:p w14:paraId="44ACB187" w14:textId="77777777" w:rsidR="00862D60" w:rsidRDefault="00000000">
      <w:r>
        <w:t>The annual frequency is a minimum, the system is updated if this is made necessary by the emergence of a new major risk or a marked change in the regulatory framework.</w:t>
      </w:r>
    </w:p>
    <w:p w14:paraId="30237152" w14:textId="77777777" w:rsidR="00862D60" w:rsidRDefault="00000000">
      <w:r>
        <w:t>These functions also report on the performance of their duties to the Risks and Internal Control Committee, a specialized committee of the Board of Directors.</w:t>
      </w:r>
    </w:p>
    <w:p w14:paraId="5ABF1222" w14:textId="77777777" w:rsidR="00862D60" w:rsidRDefault="00000000">
      <w:r>
        <w:t>They also have the right of initiative and may directly contact the Board of Directors or Risks and Internal Control Committee if they consider that an event that could have a significant impact must be submitted to it.</w:t>
      </w:r>
    </w:p>
    <w:p w14:paraId="6F2776CB" w14:textId="4C7EBE49" w:rsidR="00862D60" w:rsidRDefault="00000000">
      <w:r>
        <w:t xml:space="preserve">Own workers in the second and third line of defense Compliance 10 Permanent control 4 Risks 88 Periodic control 8 </w:t>
      </w:r>
      <w:r w:rsidR="00C076CD">
        <w:t>total</w:t>
      </w:r>
      <w:r>
        <w:t xml:space="preserve"> 110 The players in the second and third levels of control </w:t>
      </w:r>
      <w:r>
        <w:lastRenderedPageBreak/>
        <w:t>meet as needed in the Internal Control Coordination Committee, which coordinates the internal control system.</w:t>
      </w:r>
    </w:p>
    <w:p w14:paraId="58053EC8" w14:textId="77777777" w:rsidR="00862D60" w:rsidRDefault="00000000">
      <w:r>
        <w:t>As such and without prejudice to the prerogatives of the Board of Directors, they, Permanent control Fundamental principles In line with the fundamental principles of internal control described above, permanent control is defined as all the processes and resources implemented on an ongoing basis to obtain reasonable assurance that the following objectives have been achieved, Permanent control is based on the body of standards and procedures governing all activities and processes, and is an element of the overall system for managing risks.</w:t>
      </w:r>
    </w:p>
    <w:p w14:paraId="5C467438" w14:textId="77777777" w:rsidR="00862D60" w:rsidRDefault="00000000">
      <w:r>
        <w:t>Other sources are taken into account to develop the control plan, new activities or products, incidents, regulatory changes, audit and regulator recommendations and feedback from permanent control campaigns.</w:t>
      </w:r>
    </w:p>
    <w:p w14:paraId="15E561F6" w14:textId="77777777" w:rsidR="00862D60" w:rsidRDefault="00000000">
      <w:r>
        <w:t>Organization and governance The permanent control charter, made available to all Sfil employees, defines the permanent control system and activities by specifying, giving an opinion on the compensation policy and practices, in particular if they are compatible with the situation of Sfil with regard to the risks to which it is exposed.</w:t>
      </w:r>
    </w:p>
    <w:p w14:paraId="1BEBD723" w14:textId="77777777" w:rsidR="00862D60" w:rsidRDefault="00000000">
      <w:r>
        <w:t>They are responsible for, The internal control system is the responsibility of each employee, whatever their hierarchical level and their responsibilities.</w:t>
      </w:r>
    </w:p>
    <w:p w14:paraId="41A9191B" w14:textId="77777777" w:rsidR="00862D60" w:rsidRDefault="00000000">
      <w:r>
        <w:t>These policies, limits and indicators are defined by several internal committees composed of employees from the operational, support and control functions and chaired by a member of the Executive Committee.</w:t>
      </w:r>
    </w:p>
    <w:p w14:paraId="0F34EDEA" w14:textId="77777777" w:rsidR="00862D60" w:rsidRDefault="00000000">
      <w:r>
        <w:t>Employees are required to report to a higher level as soon as possible, In addition, employees have the right to whistleblowing, provided for by the Sfil code of conduct, allowing them to make an alert within a framework placed under the responsibility of the Compliance division, providing a guarantee of enhanced confidentiality and protection against possible retaliation.</w:t>
      </w:r>
    </w:p>
    <w:p w14:paraId="7C97D9F5" w14:textId="77777777" w:rsidR="00862D60" w:rsidRDefault="00000000">
      <w:r>
        <w:t>In addition, internal control objectives are taken into account in human resources management, particularly as part of the annual assessment process and the definition of training.</w:t>
      </w:r>
    </w:p>
    <w:p w14:paraId="689195CB" w14:textId="77777777" w:rsidR="00862D60" w:rsidRDefault="00000000">
      <w:r>
        <w:t>To carry out their duties, the permanent control division and the Risks division have full access to the business, risk and compliance tools necessary for the implementation of controls in complete independence as well as to any useful information from the operational departments.</w:t>
      </w:r>
    </w:p>
    <w:p w14:paraId="342C8E73" w14:textId="77777777" w:rsidR="00862D60" w:rsidRDefault="00000000">
      <w:r>
        <w:t>They focus on, Sfil monitors and manages its risks notably by means of risks mappings prepared by the Risks division and the Compliance division, in conjunction with the business lines, which make it possible to, The risk mappings are updated at least annually.</w:t>
      </w:r>
    </w:p>
    <w:p w14:paraId="2C61955D" w14:textId="77777777" w:rsidR="00862D60" w:rsidRDefault="00000000">
      <w:r>
        <w:lastRenderedPageBreak/>
        <w:t>Risks division The permanent control system is based on the risk management system put in place by the Risks division to identify the main operational and non‑compliance risks and to guide the controls in order to assess their degree of control, as part of a risk‑based approach.</w:t>
      </w:r>
    </w:p>
    <w:p w14:paraId="36ABE47B" w14:textId="77777777" w:rsidR="00862D60" w:rsidRDefault="00000000">
      <w:r>
        <w:t>The risk management system developed and implemented by the Risks division complements the permanent control system described above.</w:t>
      </w:r>
    </w:p>
    <w:p w14:paraId="7B691866" w14:textId="77777777" w:rsidR="00862D60" w:rsidRDefault="00000000">
      <w:r>
        <w:t>In support of the latter, non‑compliance risk monitoring indicators are defined in conjunction with the Risks division as part of the risk appetite.</w:t>
      </w:r>
    </w:p>
    <w:p w14:paraId="09D9F978" w14:textId="77777777" w:rsidR="00862D60" w:rsidRDefault="00000000">
      <w:r>
        <w:t>In his capacity as head of the compliance verification function, he has direct access to the Deputy Chief Executive Officer with a whistleblowing right.</w:t>
      </w:r>
    </w:p>
    <w:p w14:paraId="0A44202D" w14:textId="77777777" w:rsidR="00862D60" w:rsidRDefault="00000000">
      <w:r>
        <w:t>Its main objectives are to, Compliance division The General Secretary, who is also the Chief Compliance and Ethics Officer, is responsible for the compliance verification function in accordance with Article 28 of the Arrêté.</w:t>
      </w:r>
    </w:p>
    <w:p w14:paraId="72931EEF" w14:textId="77777777" w:rsidR="00862D60" w:rsidRDefault="00000000">
      <w:r>
        <w:t>As a second line of defense, this framework guarantees reasonable assurance of non‑compliance risk control.</w:t>
      </w:r>
    </w:p>
    <w:p w14:paraId="1116A6B2" w14:textId="77777777" w:rsidR="00862D60" w:rsidRDefault="00000000">
      <w:r>
        <w:t>To perform its duties, the Compliance division also relies on internal systems that enable the detection and reporting of reports, breaches, violations or malfunctions, via, 2024 permanent control activities Missions 2024 Results Preparation of the permanent control plan Roll‑out of the permanent control plan Periodic control Organization and governance The periodic control function, which is the third line of defense is performed by the Internal Audit division.</w:t>
      </w:r>
    </w:p>
    <w:p w14:paraId="2D05B57C" w14:textId="77777777" w:rsidR="00862D60" w:rsidRDefault="00000000">
      <w:r>
        <w:t>In addition to the direct reporting of the General Auditor to the Chief Executive Officer, independence and efficiency of the Internal Audit division is assured by, These principles are reflected in the internal audit charter and the inspection charter, approved by the Risks and Internal Control Committee of Sfil, and distributed to all Sfil employees to remind them of the rights and duties of the auditors and the auditees.</w:t>
      </w:r>
    </w:p>
    <w:p w14:paraId="4F102013" w14:textId="77777777" w:rsidR="00862D60" w:rsidRDefault="00000000">
      <w:r>
        <w:t>Furthermore, every auditor is responsible for a specific field, via the participation on some of the governance committees as an observer, risk monitoring and the following up of recommendations for implementation by operating divisions.</w:t>
      </w:r>
    </w:p>
    <w:p w14:paraId="38AB646D" w14:textId="77777777" w:rsidR="00862D60" w:rsidRDefault="00000000">
      <w:r>
        <w:t>The supervision of the periodic control by the Board of Directors and Risks and Internal Control Committee is based on a system of structured and recurrent reporting of all the Internal Audit divisions activities.</w:t>
      </w:r>
    </w:p>
    <w:p w14:paraId="2238762D" w14:textId="77777777" w:rsidR="00862D60" w:rsidRDefault="00000000">
      <w:r>
        <w:t>It participates actively in managing the technical development of IT systems, and relies on a cross‑divisional team within the Technology and Organization division to improve, secure and ensure the sustainability of its IT system.</w:t>
      </w:r>
    </w:p>
    <w:p w14:paraId="6B1A683F" w14:textId="77777777" w:rsidR="00862D60" w:rsidRDefault="00000000">
      <w:r>
        <w:lastRenderedPageBreak/>
        <w:t>Annual financial report 2024 I Sfil 4 Risks and capital adequacy Risk management system 109 The internal control system in the operating divisions guarantees the completeness and accuracy of accounting entries.</w:t>
      </w:r>
    </w:p>
    <w:p w14:paraId="6F1E3929" w14:textId="77777777" w:rsidR="00862D60" w:rsidRDefault="00000000">
      <w:r>
        <w:t>They are consulted throughout the process of preparation of the financial statements in order to ensure efficiency and transparency.</w:t>
      </w:r>
    </w:p>
    <w:p w14:paraId="7583D8E5" w14:textId="77777777" w:rsidR="00862D60" w:rsidRDefault="00000000">
      <w:r>
        <w:t>They may make recommendations to the management on internal control procedures and systems that could improve the quality or security of financial and accounting information produced.</w:t>
      </w:r>
    </w:p>
    <w:p w14:paraId="5E24C4E6" w14:textId="77777777" w:rsidR="00862D60" w:rsidRDefault="00000000">
      <w:r>
        <w:t>Organization and governance The Credit Risk division is tasked with the following missions within the scope of its function to monitor credit risks, The governance of credit risk management is based on the following specialized committees, Monitoring system Credit granting policy With regard to the granting of financing to the French local public sector, the analysis focuses on three types of grant criteria, With regard to the refinancing of export credits, commitment decisions are made by the Credit Committee.</w:t>
      </w:r>
    </w:p>
    <w:p w14:paraId="43A28133" w14:textId="77777777" w:rsidR="00862D60" w:rsidRDefault="00000000">
      <w:r>
        <w:t>This management is controlled by the Market and ALM Risk division through the implementation of second‑level controls on the most significant indicators and the verification of compliance with the associated limits.</w:t>
      </w:r>
    </w:p>
    <w:p w14:paraId="4C434C9B" w14:textId="77777777" w:rsidR="00862D60" w:rsidRDefault="00000000">
      <w:r>
        <w:t>The implementation of this financing plan is accompanied by a requirement to diversify sources of financing with, in addition to issuance programs secured at Caffil and unsecured at Sfil regular issues in USD, Environmental, Social, Governance labeled and, in the short term, in the Negotiable European Commercial Paper NeuCP format.</w:t>
      </w:r>
    </w:p>
    <w:p w14:paraId="4CDEB04C" w14:textId="77777777" w:rsidR="00862D60" w:rsidRDefault="00000000">
      <w:r>
        <w:t>The short‑term liquidity gap allows it to monitor more precisely the liquidity position over the coming months and to make any adjustments to ensure compliance with regulatory and management limits.</w:t>
      </w:r>
    </w:p>
    <w:p w14:paraId="161E3339" w14:textId="7F3AAA68" w:rsidR="00862D60" w:rsidRDefault="00000000">
      <w:r>
        <w:t>Among the various interest rate risks, the Group is exposed to three types of risk, namely fixed interest rate risk, floating rate risk basis and fixing and option risk related to the existence of floors on commercial loans, Organization and governance Interest rate risk is managed by the ALM team of the Finance and Financial Markets division, which, This management is controlled and supervised by the Market and ALM Risk division, which, This activity is structured around two committees, Monitoring system Audited Hedging Strategy The Sfil Group has defined an interest rate risk appetite, which is broken down into a system of limits governing the sensitivity of the net present value and the sensitivity of the net interest margi</w:t>
      </w:r>
      <w:r w:rsidR="00314EF4">
        <w:t>n</w:t>
      </w:r>
      <w:r>
        <w:t>.</w:t>
      </w:r>
    </w:p>
    <w:p w14:paraId="1F9FBC7E" w14:textId="77777777" w:rsidR="00862D60" w:rsidRDefault="00000000">
      <w:r>
        <w:t>It concerns mainly, Organization and governance Governance of market risk monitoring is led by the Guidelines and Market Risks Committee, which monitors the following risk indicators on a quarterly basis, This Committee is also responsible for approving policies, directives and procedures relating to non‑regulatory market risks before they are submitted to the Risks Committee.</w:t>
      </w:r>
    </w:p>
    <w:p w14:paraId="4E0EFCBF" w14:textId="77777777" w:rsidR="00862D60" w:rsidRDefault="00000000">
      <w:r>
        <w:lastRenderedPageBreak/>
        <w:t>Legal risk and non‑compliance risk are detailed below in dedicated sections.</w:t>
      </w:r>
    </w:p>
    <w:p w14:paraId="30031676" w14:textId="77777777" w:rsidR="00862D60" w:rsidRDefault="00000000">
      <w:r>
        <w:t>Operational risk management governance is structured around three committees, Monitoring system The Sfil Groups policy for measuring and managing operational risks consists of regularly identifying and assessing its risk exposure and the existing mitigation and control systems to establish whether or not the level of residual risk is acceptable.</w:t>
      </w:r>
    </w:p>
    <w:p w14:paraId="01817600" w14:textId="77777777" w:rsidR="00862D60" w:rsidRDefault="00000000">
      <w:r>
        <w:t>This process allows Sfil Group to comply with regulatory requirements and also to gather key data to improve the quality of its internal control system.</w:t>
      </w:r>
    </w:p>
    <w:p w14:paraId="5E989C44" w14:textId="77777777" w:rsidR="00862D60" w:rsidRDefault="00000000">
      <w:r>
        <w:t>A plan to ensure compliance with the DORA regulations has also been defined.</w:t>
      </w:r>
    </w:p>
    <w:p w14:paraId="1FAFB45F" w14:textId="77777777" w:rsidR="00862D60" w:rsidRDefault="00000000">
      <w:r>
        <w:t>It corresponds to the risk of legal, administrative or disciplinary sanctions, significant financial loss or damage to reputation arising from non‑compliance with provisions specific to banking and financial activities, whether of a directly applicable legislative or regulatory, national or European nature or in terms of professional and ethical standards or instructions issued by the effective managers, in particular pursuant to the guidelines of the supervisory body.</w:t>
      </w:r>
    </w:p>
    <w:p w14:paraId="32A77362" w14:textId="77777777" w:rsidR="00862D60" w:rsidRDefault="00000000">
      <w:r>
        <w:t>Reputational risk is essentially a risk contingent on all the other risks incurred and in particular the potential materialization of a credit risk, a market risk, an operational risk or a risk of non‑compliance, as well as a violation of Sfil's Ethics and Professional Conduct Code.</w:t>
      </w:r>
    </w:p>
    <w:p w14:paraId="5D024C65" w14:textId="77777777" w:rsidR="00862D60" w:rsidRDefault="00000000">
      <w:r>
        <w:t>In accordance with applicable legal and regulatory requirements, professional standards, the internal control framework policy and the permanent control charter, the organization of functions aimed at managing non‑compliance risk is part of the internal control system of the Sfil Group.</w:t>
      </w:r>
    </w:p>
    <w:p w14:paraId="3C3997B5" w14:textId="77777777" w:rsidR="00862D60" w:rsidRDefault="00000000">
      <w:r>
        <w:t>The framework of these systems is submitted to the Compliance Committee and proposed to the Board of Directors for approval on the proposal of the Risks and Internal Control Committee.</w:t>
      </w:r>
    </w:p>
    <w:p w14:paraId="087DCC81" w14:textId="77777777" w:rsidR="00862D60" w:rsidRDefault="00000000">
      <w:r>
        <w:t>The non‑compliance risk management processes apply to all the Sfil Groups departments, activities and processes.</w:t>
      </w:r>
    </w:p>
    <w:p w14:paraId="5D1B2ADB" w14:textId="77777777" w:rsidR="00862D60" w:rsidRDefault="00000000">
      <w:r>
        <w:t>As such, she is responsible for the compliance verification function in accordance with Article 28 of the arrêté.</w:t>
      </w:r>
    </w:p>
    <w:p w14:paraId="76480406" w14:textId="77777777" w:rsidR="00862D60" w:rsidRDefault="00000000">
      <w:r>
        <w:t>The Compliance division, in its role as the second line of defense, ensures compliance with the compliance systems entrusted to the various business lines.</w:t>
      </w:r>
    </w:p>
    <w:p w14:paraId="43CF4CAC" w14:textId="77777777" w:rsidR="00862D60" w:rsidRDefault="00000000">
      <w:r>
        <w:t>It implements actions to control the non‑compliance risks listed in the above table.</w:t>
      </w:r>
    </w:p>
    <w:p w14:paraId="2E252BD4" w14:textId="77777777" w:rsidR="00862D60" w:rsidRDefault="00000000">
      <w:r>
        <w:t xml:space="preserve">Implementation of the compliance systems </w:t>
      </w:r>
      <w:proofErr w:type="gramStart"/>
      <w:r>
        <w:t>In</w:t>
      </w:r>
      <w:proofErr w:type="gramEnd"/>
      <w:r>
        <w:t xml:space="preserve"> compliance with risk appetite, compliance policies and procedures have been defined for </w:t>
      </w:r>
      <w:proofErr w:type="gramStart"/>
      <w:r>
        <w:t>all of</w:t>
      </w:r>
      <w:proofErr w:type="gramEnd"/>
      <w:r>
        <w:t xml:space="preserve"> Sfil Groups activities.</w:t>
      </w:r>
    </w:p>
    <w:p w14:paraId="630F3A69" w14:textId="77777777" w:rsidR="00862D60" w:rsidRDefault="00000000">
      <w:r>
        <w:lastRenderedPageBreak/>
        <w:t>The Compliance division verifies compliance with these policies and procedures and, if necessary, proposes actions to the divisions concerned to ensure their compliance.</w:t>
      </w:r>
    </w:p>
    <w:p w14:paraId="5A40A92E" w14:textId="77777777" w:rsidR="00862D60" w:rsidRDefault="00000000">
      <w:r>
        <w:t>The Sfil Group has no risk appetite for banking and financial non‑compliance risk and has a zero tolerance policy for corruption, influence peddling and all breaches of probity.</w:t>
      </w:r>
    </w:p>
    <w:p w14:paraId="7DA73E25" w14:textId="77777777" w:rsidR="00862D60" w:rsidRDefault="00000000">
      <w:r>
        <w:t>Sfils policy for measuring and managing non‑compliance risk, consists of regularly identifying and assessing its risk exposure and the existing mitigation and control systems to establish whether or not the level of residual risk is acceptable.</w:t>
      </w:r>
    </w:p>
    <w:p w14:paraId="14081BFD" w14:textId="77777777" w:rsidR="00862D60" w:rsidRDefault="00000000">
      <w:r>
        <w:t>This policy is divided into four main processes, Ethics and professional conduct Since its creation, Sfil has defined its code of ethics and professional conduct as a set of values and principles shared by all managers and employees in order to carry out our duties on a daily basis with complete integrity, in compliance with the provisions specific to our activities.</w:t>
      </w:r>
    </w:p>
    <w:p w14:paraId="162666D8" w14:textId="77777777" w:rsidR="00862D60" w:rsidRDefault="00000000">
      <w:r>
        <w:t>The Compliance division has set out the rules applicable to each employee in terms of managing and declaring conflicts of interest, gifts and invitations and secondary activities within an additional set of procedures.</w:t>
      </w:r>
    </w:p>
    <w:p w14:paraId="5A442D35" w14:textId="77777777" w:rsidR="00862D60" w:rsidRDefault="00000000">
      <w:r>
        <w:t>The aim is to promote a culture of risk and compliance.</w:t>
      </w:r>
    </w:p>
    <w:p w14:paraId="048721B3" w14:textId="77777777" w:rsidR="00862D60" w:rsidRDefault="00000000">
      <w:r>
        <w:t>The Sfil Group's employees follow a basic compliance training program supplemented by expert training for the staff most exposed to some of the risks of non‑compliance.</w:t>
      </w:r>
    </w:p>
    <w:p w14:paraId="4F248287" w14:textId="77777777" w:rsidR="00862D60" w:rsidRDefault="00000000">
      <w:r>
        <w:t>Fight against corruption The governance of the corruption prevention system at the highest level of Sfil is a guarantee of the credibility of the approach and the proactive behavior of the governing body.</w:t>
      </w:r>
    </w:p>
    <w:p w14:paraId="46B05F37" w14:textId="77777777" w:rsidR="00862D60" w:rsidRDefault="00000000">
      <w:r>
        <w:t>Through its clear and unequivocal commitment, it promotes a culture of compliance and transparency essential to the assessment of corruption risks.</w:t>
      </w:r>
    </w:p>
    <w:p w14:paraId="7741A994" w14:textId="77777777" w:rsidR="00862D60" w:rsidRDefault="00000000">
      <w:r>
        <w:t>In this context, the Compliance division is responsible for, General Management also ensures that the resources allocated to the challenges of preventing and detecting acts of corruption are adequate, in particular by ensuring that the Compliance division has sufficient human and financial resources to fight against corruption.</w:t>
      </w:r>
    </w:p>
    <w:p w14:paraId="2D13827C" w14:textId="77777777" w:rsidR="00862D60" w:rsidRDefault="00000000">
      <w:r>
        <w:t>The Compliance division is the preferred contact for all theoretical and practical questions that employees may have about situations potentially constituting acts of corruption, both in a preventive and corrective manner.</w:t>
      </w:r>
    </w:p>
    <w:p w14:paraId="6081A24A" w14:textId="77777777" w:rsidR="00862D60" w:rsidRDefault="00000000">
      <w:r>
        <w:t>In this context, the Compliance division deploys training and awareness‑raising programs in terms of preventing market abuse adapted to the roles and responsibilities of employees, managers and corporate officers.</w:t>
      </w:r>
    </w:p>
    <w:p w14:paraId="683BE984" w14:textId="77777777" w:rsidR="00862D60" w:rsidRDefault="00000000">
      <w:r>
        <w:t>The Compliance division has a comprehensive and structured financial security procedure corpus, which forms the basis of the internal practices.</w:t>
      </w:r>
    </w:p>
    <w:p w14:paraId="5D7A57B9" w14:textId="77777777" w:rsidR="00862D60" w:rsidRDefault="00000000">
      <w:r>
        <w:lastRenderedPageBreak/>
        <w:t>This corpus, regularly updated to include legislative, regulatory and case law changes, includes a general AML‑CFT policy, which defines the Sfil Groups commitments and guiding principles for the prevention of money laundering and the financing of terrorism.</w:t>
      </w:r>
    </w:p>
    <w:p w14:paraId="39844E31" w14:textId="77777777" w:rsidR="00862D60" w:rsidRDefault="00000000">
      <w:r>
        <w:t>This policy is supplemented by operational procedures detailing the implementation methods and the procedures to be carried out to ensure compliance with regulatory obligations.</w:t>
      </w:r>
    </w:p>
    <w:p w14:paraId="23B87C8D" w14:textId="77777777" w:rsidR="00862D60" w:rsidRDefault="00000000">
      <w:r>
        <w:t>In order to meet regulatory requirements in this area, the compliance division deploys AML‑CFT training and awareness programs adapted to the roles and responsibilities of employees, directors and corporate officers.</w:t>
      </w:r>
    </w:p>
    <w:p w14:paraId="778F0363" w14:textId="77777777" w:rsidR="00862D60" w:rsidRDefault="00000000">
      <w:r>
        <w:t>This system makes it possible to maintain a high level of vigilance proportionate to the challenges of financial security, while guaranteeing employees adherence to compliance requirements and observance of internal procedures.</w:t>
      </w:r>
    </w:p>
    <w:p w14:paraId="4481E8D2" w14:textId="77777777" w:rsidR="00862D60" w:rsidRDefault="00000000">
      <w:r>
        <w:t>To ensure the detection and treatment of non‑compliance risks in terms of financial security, the Compliance division relies on human, technological and organizational resources.</w:t>
      </w:r>
    </w:p>
    <w:p w14:paraId="46CDA3DE" w14:textId="77777777" w:rsidR="00862D60" w:rsidRDefault="00000000">
      <w:r>
        <w:t>This structured system enables Sfil to meet regulatory requirements and ensure the effective management of financial security risks.</w:t>
      </w:r>
    </w:p>
    <w:p w14:paraId="5A1464D9" w14:textId="77777777" w:rsidR="00862D60" w:rsidRDefault="00000000">
      <w:r>
        <w:t>The governance and procedural framework in place provide the necessary framework to meet the regulatory requirements of the European Data Protection Regulation on the protection of personal data and the legitimate expectations of its employees, customers and more broadly any third parties interacting with it.</w:t>
      </w:r>
    </w:p>
    <w:p w14:paraId="5B6DB392" w14:textId="77777777" w:rsidR="00862D60" w:rsidRDefault="00000000">
      <w:r>
        <w:t>As part of their mission, the DPO monitors risk indicators including personal data leaks, registry compliance and employee training rates.</w:t>
      </w:r>
    </w:p>
    <w:p w14:paraId="1A8EC09B" w14:textId="77777777" w:rsidR="00862D60" w:rsidRDefault="00000000">
      <w:r>
        <w:t>Lastly, the DPO, in conjunction with the Permanent Control division, ensures compliance with the rules set out in the policies and procedures relating to the protection of personal data.</w:t>
      </w:r>
    </w:p>
    <w:p w14:paraId="717FC89B" w14:textId="77777777" w:rsidR="00862D60" w:rsidRDefault="00000000">
      <w:r>
        <w:t>All employees are trained in compliance with the GDPR via an e‑learning module.</w:t>
      </w:r>
    </w:p>
    <w:p w14:paraId="4E3FDB64" w14:textId="77777777" w:rsidR="00862D60" w:rsidRDefault="00000000">
      <w:r>
        <w:t>The objective is to provide the knowledge and skills that these contacts need as part of their missions to maintain the Sfil Groups compliance with the GDPR.</w:t>
      </w:r>
    </w:p>
    <w:p w14:paraId="02D0798D" w14:textId="02B8508E" w:rsidR="00862D60" w:rsidRDefault="00000000">
      <w:r>
        <w:t xml:space="preserve">A structured framework for financial </w:t>
      </w:r>
      <w:proofErr w:type="gramStart"/>
      <w:r>
        <w:t>security  A</w:t>
      </w:r>
      <w:proofErr w:type="gramEnd"/>
      <w:r>
        <w:t xml:space="preserve"> culture of compliance and an adapted training system A robust system for detecting and treating non‑compliance </w:t>
      </w:r>
      <w:proofErr w:type="gramStart"/>
      <w:r>
        <w:t>risks  Annual</w:t>
      </w:r>
      <w:proofErr w:type="gramEnd"/>
      <w:r>
        <w:t xml:space="preserve"> financial report 2024 I Sfil 4 Risks and capital adequacy</w:t>
      </w:r>
      <w:r w:rsidR="001F26B3">
        <w:t>.</w:t>
      </w:r>
    </w:p>
    <w:p w14:paraId="12D3D11F" w14:textId="77777777" w:rsidR="00862D60" w:rsidRDefault="00000000">
      <w:r>
        <w:t xml:space="preserve">Although the Sfil Group has no appetite for legal and tax risks, this does not mean that it is fully protected against these risks, especially since it is subject to significant and evolving regulations, in particular the introduction of new rules to improve the transparency, </w:t>
      </w:r>
      <w:r>
        <w:lastRenderedPageBreak/>
        <w:t>efficiency and integrity of financial markets and the strengthening of tax transparency requirements.</w:t>
      </w:r>
    </w:p>
    <w:p w14:paraId="630A3CE5" w14:textId="77777777" w:rsidR="00862D60" w:rsidRDefault="00000000">
      <w:r>
        <w:t>Organization and governance The control and management of legal and tax risk excluding declarations is handled within the General Secretary's office by, These three divisions report to the General Secretary, who validates the legal strategies implemented.</w:t>
      </w:r>
    </w:p>
    <w:p w14:paraId="1ACF1B99" w14:textId="77777777" w:rsidR="00862D60" w:rsidRDefault="00000000">
      <w:r>
        <w:t>Environmental risk refers to losses resulting from any negative financial impact on the institution.</w:t>
      </w:r>
    </w:p>
    <w:p w14:paraId="16628078" w14:textId="77777777" w:rsidR="00862D60" w:rsidRDefault="00000000">
      <w:r>
        <w:t>This impact may result from the current or projected impact on the institutions counterparties or its invested assets of environmental factors, including factors related to the transition to the following environmental objectives, the Financing Legal division, which covers the financing of the local public sector and the financing of export credit.</w:t>
      </w:r>
    </w:p>
    <w:p w14:paraId="5BE744CC" w14:textId="77777777" w:rsidR="00862D60" w:rsidRDefault="00000000">
      <w:r>
        <w:t>Transition risk is the financial loss resulting from the process of transitioning to a low‑carbon and environmentally sustainable economy and may be attributable to climate or environmental factors, such as policy changes, regulations, technologies or market sentiment.</w:t>
      </w:r>
    </w:p>
    <w:p w14:paraId="524731B5" w14:textId="77777777" w:rsidR="00862D60" w:rsidRDefault="00000000">
      <w:r>
        <w:t>Steering, policies and governance Objectives, targets, limits and performance assessment With the founding principle of serving the public interest, Sfil adopted its corporate purpose statement in 2018, financing a sustainable future through a long‑term and responsible support to regional development and large exporters by mobilizing international capital, with an objective of positive and moderate profitability as part of a controlled risk‑taking and a balanced social model.</w:t>
      </w:r>
    </w:p>
    <w:p w14:paraId="104AC04D" w14:textId="77777777" w:rsidR="00862D60" w:rsidRDefault="00000000">
      <w:r>
        <w:t>In 2018, Sfil joined the United Nations Global Compact, which aims to propose solutions to global challenges, in close connection with the Sustainable Development Agenda and the 17 United Nations Sustainable Development Goals by 2030.</w:t>
      </w:r>
    </w:p>
    <w:p w14:paraId="1EC011C2" w14:textId="77777777" w:rsidR="00862D60" w:rsidRDefault="00000000">
      <w:r>
        <w:t>Financing of the French local public sector As part of its general interest mission, Sfil particularly supports local public sector players who, because of their skills, have a major role to play in achieving the carbon neutrality objective set out in the National Low‑Carbon Strategy that France has set for 2050.</w:t>
      </w:r>
    </w:p>
    <w:p w14:paraId="4975F367" w14:textId="77777777" w:rsidR="00862D60" w:rsidRDefault="00000000">
      <w:r>
        <w:t>As the leading local public sector financier, Sfil and its partners strongly support local authority investment projects with a positive environmental impact through the granting of green loans.</w:t>
      </w:r>
    </w:p>
    <w:p w14:paraId="4D078B89" w14:textId="77777777" w:rsidR="00862D60" w:rsidRDefault="00000000">
      <w:r>
        <w:t>These loans cover the following categories, Sfil has partially adapted the range of green loans offered to French local authorities to the European Green Taxonomy, and in particular to the objectives of climate change mitigation and adaptation, the sustainable use and protection of water and marine resources and the transition to a circular economy.</w:t>
      </w:r>
    </w:p>
    <w:p w14:paraId="3580EDCC" w14:textId="77777777" w:rsidR="00862D60" w:rsidRDefault="00000000">
      <w:r>
        <w:t xml:space="preserve">This latter financing offer covers the following areas, The roll‑out of these thematic offers is accompanied by a broad awareness‑raising among borrowers in order to enroll them in full </w:t>
      </w:r>
      <w:r>
        <w:lastRenderedPageBreak/>
        <w:t>support of the actions carried out by local authorities and their groupings in the environmental and social fields.</w:t>
      </w:r>
    </w:p>
    <w:p w14:paraId="2E2F7B95" w14:textId="77777777" w:rsidR="00862D60" w:rsidRDefault="00000000">
      <w:r>
        <w:t>The refinancing of export credits can have a positive environmental or social impact in the countries of destination on the following themes, Green loans Social loans Export credits are outside the scope of the European taxonomy, being mainly counterparties located outside the European Union.</w:t>
      </w:r>
    </w:p>
    <w:p w14:paraId="6EA4E01D" w14:textId="77777777" w:rsidR="00862D60" w:rsidRDefault="00000000">
      <w:r>
        <w:t>Nevertheless, the criteria for certain categories of green projects, included in the framework of the Sfil Groups green, social and sustainable bond issues mentioned below, are taken from the European taxonomy.</w:t>
      </w:r>
    </w:p>
    <w:p w14:paraId="4636A255" w14:textId="77777777" w:rsidR="00862D60" w:rsidRDefault="00000000">
      <w:r>
        <w:t>Bond issues In order to support customers in these business lines in their investments in favor of the energy and environmental transition, since 2019 Sfil has issued thematic bonds that refinance green or social loans.</w:t>
      </w:r>
    </w:p>
    <w:p w14:paraId="38FE8300" w14:textId="77777777" w:rsidR="00862D60" w:rsidRDefault="00000000">
      <w:r>
        <w:t>These thematic bonds are governed by the framework of green, social and sustainable bond issues, updated in November 2024.</w:t>
      </w:r>
    </w:p>
    <w:p w14:paraId="16F474F7" w14:textId="77777777" w:rsidR="00862D60" w:rsidRDefault="00000000">
      <w:r>
        <w:t>This framework was established in accordance with the Green Bond Principles 2021 version with the annex of June 2022, the Social Bond Principles 2023 version and the Sustainability Bond Guidelines 2021 version as published by the International Capital Markets Association.</w:t>
      </w:r>
    </w:p>
    <w:p w14:paraId="6799A0AB" w14:textId="33043D09" w:rsidR="00862D60" w:rsidRDefault="00000000">
      <w:r>
        <w:t xml:space="preserve">Policies and procedures for direct and indirect dialog with counterparties Due to its status as a public development bank, Sfil does not participate in the production or trade of any illicit products, or any illegal activities under the laws of France or the country of operation for these two business lines, </w:t>
      </w:r>
      <w:r w:rsidR="00D64A88">
        <w:t>t</w:t>
      </w:r>
      <w:r>
        <w:t>he local public sector and the refinancing of export credits.</w:t>
      </w:r>
    </w:p>
    <w:p w14:paraId="0BB5A2F4" w14:textId="77777777" w:rsidR="00862D60" w:rsidRDefault="00000000">
      <w:r>
        <w:t>Given the central role of French local authorities in the environmental transition, Sfil particularly supports these players in their growing need for financing in projects with a positive environmental impact via green loans, by adapting its lending policy.</w:t>
      </w:r>
    </w:p>
    <w:p w14:paraId="52393485" w14:textId="77777777" w:rsidR="00862D60" w:rsidRDefault="00000000">
      <w:r>
        <w:t>As part of the implementation of its climate and environmental risk policy, Sfil takes into account the documents published by local authorities such as risk identification studies in their regions and vulnerability studies.</w:t>
      </w:r>
    </w:p>
    <w:p w14:paraId="77A0AFE6" w14:textId="77777777" w:rsidR="00862D60" w:rsidRDefault="00000000">
      <w:r>
        <w:t>The export credit refinancing system is part of a more global ecosystem committed to the mitigation and reduction of environmental and social risks, Governance Sfils Board of Directors pays particular attention to sustainability issues, and in particular, to climate and environmental risks in accordance with its internal regulations.</w:t>
      </w:r>
    </w:p>
    <w:p w14:paraId="6A8905BC" w14:textId="07D04568" w:rsidR="00862D60" w:rsidRDefault="00000000">
      <w:r>
        <w:t>Soft mobility and clean transport  Renewable energy  Low‑carbon energy</w:t>
      </w:r>
      <w:r w:rsidR="008D12C2">
        <w:t>,</w:t>
      </w:r>
      <w:r>
        <w:t xml:space="preserve">  Access to essential services</w:t>
      </w:r>
      <w:r w:rsidR="008D12C2">
        <w:t>,</w:t>
      </w:r>
      <w:r>
        <w:t xml:space="preserve">  Affordable basic infrastructures the export credits benefiting from the credit insurance of Bpifrance Assurance Export are aligned with France's public policy in terms of sustainable development and with the recommendations of the OECD Council the </w:t>
      </w:r>
      <w:r>
        <w:lastRenderedPageBreak/>
        <w:t>Common Approaches which refer, in particular, to the World Banks environmental and social standards and the International Finance Corporation performance standards.</w:t>
      </w:r>
    </w:p>
    <w:p w14:paraId="25ADEED1" w14:textId="77777777" w:rsidR="00862D60" w:rsidRDefault="00000000">
      <w:r>
        <w:t>They are based on the IFC performance standards and World Bank's environmental and social criteria.</w:t>
      </w:r>
    </w:p>
    <w:p w14:paraId="1CAF8286" w14:textId="77777777" w:rsidR="00862D60" w:rsidRDefault="00000000">
      <w:r>
        <w:t>This analysis examines measures that can be taken to avoid, minimize, mitigate or correct adverse impacts andor to improve environmental and social performance.</w:t>
      </w:r>
    </w:p>
    <w:p w14:paraId="142F03CF" w14:textId="77777777" w:rsidR="00862D60" w:rsidRDefault="00000000">
      <w:r>
        <w:t>If necessary, it results in the implementation of an environmental andor social management plan.</w:t>
      </w:r>
    </w:p>
    <w:p w14:paraId="6AB1C75B" w14:textId="77777777" w:rsidR="00862D60" w:rsidRDefault="00000000">
      <w:r>
        <w:t>Chaired by the Chief Risk Officer and made up of representatives of the various divisions concerned, this committee is responsible for steering and implementing the work undertaken as part of the climate roadmap.</w:t>
      </w:r>
    </w:p>
    <w:p w14:paraId="4139DFE0" w14:textId="77777777" w:rsidR="00862D60" w:rsidRDefault="00000000">
      <w:r>
        <w:t>The sustainable development and climate risk committees are assisted in these tasks by five working groups composed of contacts from the various operational and support divisions, including a group dedicated to climate risks and their impacts, managed by the risks' division, with in particular the objective of discussing work to detect, assess, monitor and manage climate and environmental risks.</w:t>
      </w:r>
    </w:p>
    <w:p w14:paraId="644E6AD7" w14:textId="77777777" w:rsidR="00862D60" w:rsidRDefault="00000000">
      <w:r>
        <w:t>As part of its policy of approving new products and services to its customers, the New Products Committee ensures compliance with the applicable regulations on the protection of the Groups customers.</w:t>
      </w:r>
    </w:p>
    <w:p w14:paraId="2F65AB79" w14:textId="77777777" w:rsidR="00862D60" w:rsidRDefault="00000000">
      <w:r>
        <w:t>General guidelines in terms of sustainable development are subject to a policy of exclusion from Sfils financing.</w:t>
      </w:r>
    </w:p>
    <w:p w14:paraId="6A7013FA" w14:textId="77777777" w:rsidR="00862D60" w:rsidRDefault="00000000">
      <w:r>
        <w:t>Annual financial report 2024 I Sfil 4 Risks and capital adequacy Main risks of the Sfil Group 175 Compensation policy and CSR objectives The compensation of the Chief Executive Officer is submitted by the Compensation Committee to the Board of Directors for decision.</w:t>
      </w:r>
    </w:p>
    <w:p w14:paraId="68BB418C" w14:textId="77777777" w:rsidR="00862D60" w:rsidRDefault="00000000">
      <w:r>
        <w:t>Cross‑functional objectives contribute to half of their annual performance and are defined by the Board of Directors.</w:t>
      </w:r>
    </w:p>
    <w:p w14:paraId="72CE8EFE" w14:textId="77777777" w:rsidR="00862D60" w:rsidRDefault="00000000">
      <w:r>
        <w:t>Monitoring of environmental, social and governance risks Management framework Applicable framework The Sfil Group takes environmental risks into account with regard to the different levels of regulation, As part of the studies in particular on the transition risk, the scenarios were drawn up on the basis of the ACPRNGFS orderly, delayed or accelerated transition narratives of the SNBC implementation trajectory as adopted by the decree of April 21, 2020.</w:t>
      </w:r>
    </w:p>
    <w:p w14:paraId="79509F21" w14:textId="77777777" w:rsidR="00862D60" w:rsidRDefault="00000000">
      <w:r>
        <w:t>Given the French legal and legal framework and international human rights treaties ratified by France, local public sector entities are not very exposed to the risk of non‑compliance with human rights.</w:t>
      </w:r>
    </w:p>
    <w:p w14:paraId="24F5B4BE" w14:textId="77777777" w:rsidR="00862D60" w:rsidRDefault="00000000">
      <w:r>
        <w:lastRenderedPageBreak/>
        <w:t>In addition, they are regularly checked by the French State services network of prefectures for local authorities and that of regional health agencies for public health institutions to ensure proper compliance with the regulations in force.</w:t>
      </w:r>
    </w:p>
    <w:p w14:paraId="0123AB54" w14:textId="77777777" w:rsidR="00862D60" w:rsidRDefault="00000000">
      <w:r>
        <w:t>From 2025, the climate and environment rating will be gradually integrated into the process of granting financing to local authorities as follows, Sfil has a better understanding of the projects it finances in the case of thematic loans green and social loans to local authorities and can better understand their impact in order to improve its management of ESG risk on the local public sector.</w:t>
      </w:r>
    </w:p>
    <w:p w14:paraId="507061DF" w14:textId="77777777" w:rsidR="00862D60" w:rsidRDefault="00000000">
      <w:r>
        <w:t>Concerning the refinancing of export credits, in addition to the intervention framework governed by the OECD arrangement, Sfil has set up a tool to assess climate risks physical risk and transition risk.</w:t>
      </w:r>
    </w:p>
    <w:p w14:paraId="0267963D" w14:textId="77777777" w:rsidR="00862D60" w:rsidRDefault="00000000">
      <w:r>
        <w:t>The analysis is based on the environmental and social impact study and the environmental and social management plan when required by the normative framework, and on any other specific and relevant document sent by the agent.</w:t>
      </w:r>
    </w:p>
    <w:p w14:paraId="5AFB4227" w14:textId="3D2A6093" w:rsidR="00862D60" w:rsidRDefault="00000000">
      <w:r>
        <w:t>Identification, measurement and monitoring of sensitive exposures Sfil mapped the risks induced by the climate and the environment in accordance with the material risk identification policy in force and assessed the materiality of their financial impact on a qualitative basis</w:t>
      </w:r>
      <w:r w:rsidR="00346F20">
        <w:t>.</w:t>
      </w:r>
    </w:p>
    <w:p w14:paraId="7425C183" w14:textId="329C5F85" w:rsidR="00862D60" w:rsidRDefault="00000000">
      <w:r>
        <w:t xml:space="preserve">On an expert basis, and according to </w:t>
      </w:r>
      <w:r w:rsidR="009B2D2B">
        <w:t>two-time</w:t>
      </w:r>
      <w:r>
        <w:t xml:space="preserve"> horizons, </w:t>
      </w:r>
      <w:r w:rsidR="009B2D2B">
        <w:t>short medium</w:t>
      </w:r>
      <w:r>
        <w:t xml:space="preserve"> term less than five years or long term more than five years until 2050.</w:t>
      </w:r>
    </w:p>
    <w:p w14:paraId="677DAC48" w14:textId="77777777" w:rsidR="00862D60" w:rsidRDefault="00000000">
      <w:r>
        <w:t>Alignment with a decarbonization trajectory A B C D E A 4 + 4 5 Overall C&amp;E rating 0 Environmental impact rating Transition risks Pollution of air Pollution of water Pollution of soil Resource scarcitydepletion waste Water stress Chronic environmental risks Earthquake Volcanic eruption Cyclone, storm Wildfires Flooding Drought Heat wave Acute physical risks Shrinkage-swelling of clays Sea level rise Coastal erosion Loss of snowfall Chronic physical risks Environmental rating Biodiversity loss Use of the biodiversity rating as an environmental risk mitigation factor + Transition risk rating Physical risks ratings With regard to the export credit portfolio, Sfil rolled out a rating tool in 2024 enabling an in‑depth analysis of risk factors.</w:t>
      </w:r>
    </w:p>
    <w:p w14:paraId="5B47435C" w14:textId="77777777" w:rsidR="00862D60" w:rsidRDefault="00000000">
      <w:r>
        <w:t>This tool covers, It thus provides a detailed view of the borrowers exposure to climate hazards, its sectoral vulnerability and finally its net exposure after taking into account risk mitigation measures.</w:t>
      </w:r>
    </w:p>
    <w:p w14:paraId="57F00E44" w14:textId="77777777" w:rsidR="00862D60" w:rsidRDefault="00000000">
      <w:r>
        <w:t>The potential impact of social risks for local authorities is extremely low in view of their role and powers which include social missions and given the French Constitutional and legal framework and international human rights treaties ratified by France.</w:t>
      </w:r>
    </w:p>
    <w:p w14:paraId="2F602B7C" w14:textId="77777777" w:rsidR="00862D60" w:rsidRDefault="00000000">
      <w:r>
        <w:t>Credit risk Sfils mapping linking credit risk to environmental risks was constructed by separating the two activities of the group.</w:t>
      </w:r>
    </w:p>
    <w:p w14:paraId="1770F34A" w14:textId="77777777" w:rsidR="00862D60" w:rsidRDefault="00000000">
      <w:r>
        <w:lastRenderedPageBreak/>
        <w:t>The Group only deals with partners who meet the established integrity rules, requirements that are more generally part of Sfils sustainable development approach.</w:t>
      </w:r>
    </w:p>
    <w:p w14:paraId="63321D0C" w14:textId="5FF49702" w:rsidR="00862D60" w:rsidRDefault="00000000">
      <w:r>
        <w:t xml:space="preserve">In addition, </w:t>
      </w:r>
      <w:proofErr w:type="gramStart"/>
      <w:r>
        <w:t>with regard to</w:t>
      </w:r>
      <w:proofErr w:type="gramEnd"/>
      <w:r>
        <w:t xml:space="preserve"> French local authorities and public hospitals, which account for most of </w:t>
      </w:r>
      <w:proofErr w:type="spellStart"/>
      <w:r>
        <w:t>Sfils</w:t>
      </w:r>
      <w:proofErr w:type="spellEnd"/>
      <w:r>
        <w:t xml:space="preserve"> exposures</w:t>
      </w:r>
      <w:r w:rsidR="00346F20">
        <w:t xml:space="preserve">, </w:t>
      </w:r>
      <w:proofErr w:type="spellStart"/>
      <w:r>
        <w:t>Sfil</w:t>
      </w:r>
      <w:proofErr w:type="spellEnd"/>
      <w:r>
        <w:t xml:space="preserve"> aims to reduce the carbon intensity of its portfolio to 76 gCO € by 2030, in line with the SNBC revised version of 2018‑2019.</w:t>
      </w:r>
    </w:p>
    <w:p w14:paraId="149133EC" w14:textId="77777777" w:rsidR="00862D60" w:rsidRDefault="00000000">
      <w:r>
        <w:t>The Poseidon Principles provide a common framework for assessing and disclosing the climate alignment of shipping finance portfolios.</w:t>
      </w:r>
    </w:p>
    <w:p w14:paraId="2181A10E" w14:textId="79DF35C2" w:rsidR="00862D60" w:rsidRDefault="00000000">
      <w:r>
        <w:t>In addition, the Poseidon Principles are in line with the policies and ambition of the International Maritime Organization</w:t>
      </w:r>
      <w:r w:rsidR="008D12C2">
        <w:t>.</w:t>
      </w:r>
    </w:p>
    <w:p w14:paraId="050C5208" w14:textId="77777777" w:rsidR="00862D60" w:rsidRDefault="00000000">
      <w:r>
        <w:t>Net zero by 2050 with intermediate objectives in 2030 and in 2040.</w:t>
      </w:r>
    </w:p>
    <w:p w14:paraId="44B3BC5F" w14:textId="77777777" w:rsidR="00862D60" w:rsidRDefault="00000000">
      <w:r>
        <w:t>Information on the effect and consideration of climate risks on credit risk management is presented in paragraph 1.</w:t>
      </w:r>
    </w:p>
    <w:p w14:paraId="3E4E5C95" w14:textId="77777777" w:rsidR="00862D60" w:rsidRDefault="00000000">
      <w:r>
        <w:t>Business model The inclusion of Groups financial assets within business models is assessed at a level that reflects how groups of financial assets are managed together to achieve Groups business objectives, which are, This assessment implies most of the time the use of judgment and relies on facts, circumstances and, generally speaking, all relevant evidence that is available for the Group at the date of the assessment.</w:t>
      </w:r>
    </w:p>
    <w:p w14:paraId="5F429253" w14:textId="77777777" w:rsidR="00862D60" w:rsidRDefault="00000000">
      <w:r>
        <w:t>Thus, the modelling of macro‑budgetary variables now includes the expenses related to a progressive implementation over the period 2023‑2026 of the additional investment efforts expected from local authorities to comply with the National Low Carbon Strategy, as I4CE has estimated in its study Communities, Investment and engineering needs for carbon neutrality.</w:t>
      </w:r>
    </w:p>
    <w:p w14:paraId="17F45DF6" w14:textId="77777777" w:rsidR="00862D60" w:rsidRDefault="00000000">
      <w:r>
        <w:t>An initial estimate of the costs of adapting to climate change, based on the study Climate assessment of local government budgets mitigation component published in September 2022 by I4CE was also taken into account in the construction of these scenarios.</w:t>
      </w:r>
    </w:p>
    <w:p w14:paraId="14C557BF" w14:textId="77777777" w:rsidR="00862D60" w:rsidRDefault="00000000">
      <w:r>
        <w:t>Operating revenues are characterized by a certain regularity, and are allocated first and foremost to the payment of the communitys current expenses, known as management expenses personnel costs, purchases and supplies, social assistance, etc.</w:t>
      </w:r>
    </w:p>
    <w:p w14:paraId="71C408C2" w14:textId="77777777" w:rsidR="00862D60" w:rsidRDefault="00000000">
      <w:r>
        <w:t>It is used to measure the communitys operating performance including debt interest payments, before taking into account its investment policy.</w:t>
      </w:r>
    </w:p>
    <w:p w14:paraId="0890FA88" w14:textId="77777777" w:rsidR="00862D60" w:rsidRDefault="00000000">
      <w:r>
        <w:t>Further work is underway to establish a methodology for rating climate risks in the local public sector.</w:t>
      </w:r>
    </w:p>
    <w:p w14:paraId="3CE7F738" w14:textId="77777777" w:rsidR="00862D60" w:rsidRDefault="00000000">
      <w:r>
        <w:t>Within this framework, related‑party transactions are those with companies owned directly or indirectly by the same final shareholders, in particular the subsidiaries of Caisse des Dépôts group, and with directors.</w:t>
      </w:r>
    </w:p>
    <w:p w14:paraId="2A03E195" w14:textId="77777777" w:rsidR="00862D60" w:rsidRDefault="00000000">
      <w:r>
        <w:lastRenderedPageBreak/>
        <w:t>This development is part of the group's ongoing efforts to simplify its operations.</w:t>
      </w:r>
    </w:p>
    <w:p w14:paraId="71F1DA7B" w14:textId="77777777" w:rsidR="00862D60" w:rsidRDefault="00000000">
      <w:r>
        <w:t>Basis for Opinion Audit Framework We conducted our audit in accordance with professional standards applicable in France.</w:t>
      </w:r>
    </w:p>
    <w:p w14:paraId="66579A37" w14:textId="77777777" w:rsidR="00862D60" w:rsidRDefault="00000000">
      <w:r>
        <w:t>With the support of experts in the valuation of financial instruments included in the audit team, we designed an approach including the following main stages, Derivatives measured at fair value Assets classified at fair value through profit or loss non SPPI loans We have also assessed criteria used to determine the fair value hierarchy using a sample of financial instruments,in particular the observability of valuation parameters.</w:t>
      </w:r>
    </w:p>
    <w:p w14:paraId="49C421A5" w14:textId="77777777" w:rsidR="00862D60" w:rsidRDefault="00000000">
      <w:r>
        <w:t>The statutory auditor is responsible for the direction, supervision and performance of the audit of the consolidated financial statements and for the opinion expressed on these consolidated financial statements.</w:t>
      </w:r>
    </w:p>
    <w:p w14:paraId="044BA5D7" w14:textId="77777777" w:rsidR="00862D60" w:rsidRDefault="00000000">
      <w:r>
        <w:t>In the framework of a restructuring, they are by way of exception amortized when they constitute an expense in compliance with the tax rule.</w:t>
      </w:r>
    </w:p>
    <w:p w14:paraId="6525D5FC" w14:textId="77777777" w:rsidR="00862D60" w:rsidRDefault="00000000">
      <w:r>
        <w:t>Basis for opinion Audit framework We conducted our audit in accordance with professional standards applicable in France.</w:t>
      </w:r>
    </w:p>
    <w:p w14:paraId="778F1D2E" w14:textId="77777777" w:rsidR="00862D60" w:rsidRDefault="00000000">
      <w:r>
        <w:t>Other verifications and information pursuant to legal and regulatory requirements Presentation of the financial statements included in the annual financial report In accordance with professional standards applicable to the Statutory Auditors procedures for annual and consolidated financial statements presented according to the European single electronic reporting format, we have verified that the presentation of the financial statements to be included in the annual financial report referred to in paragraph I of article L.</w:t>
      </w:r>
    </w:p>
    <w:p w14:paraId="485F587C" w14:textId="77777777" w:rsidR="00862D60" w:rsidRDefault="00000000">
      <w:r>
        <w:t>451‑1‑2 of the French Monetary and Financial Code Code monétaire et financier and prepared under the Chairman of the Management Boards responsibility, complies with this format, as defined by European Delegated Regulation No.</w:t>
      </w:r>
    </w:p>
    <w:p w14:paraId="0CD260BF" w14:textId="77777777" w:rsidR="00862D60" w:rsidRDefault="00000000">
      <w:r>
        <w:t>Responsibilities of the Statutory Auditors relating to the audit of the financial statements Objective and audit approach Our role is to issue a report on the financial statements.</w:t>
      </w:r>
    </w:p>
    <w:sectPr w:rsidR="00862D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25425464">
    <w:abstractNumId w:val="8"/>
  </w:num>
  <w:num w:numId="2" w16cid:durableId="555362736">
    <w:abstractNumId w:val="6"/>
  </w:num>
  <w:num w:numId="3" w16cid:durableId="529950068">
    <w:abstractNumId w:val="5"/>
  </w:num>
  <w:num w:numId="4" w16cid:durableId="1873347474">
    <w:abstractNumId w:val="4"/>
  </w:num>
  <w:num w:numId="5" w16cid:durableId="1138954938">
    <w:abstractNumId w:val="7"/>
  </w:num>
  <w:num w:numId="6" w16cid:durableId="1311713080">
    <w:abstractNumId w:val="3"/>
  </w:num>
  <w:num w:numId="7" w16cid:durableId="169830271">
    <w:abstractNumId w:val="2"/>
  </w:num>
  <w:num w:numId="8" w16cid:durableId="376244411">
    <w:abstractNumId w:val="1"/>
  </w:num>
  <w:num w:numId="9" w16cid:durableId="1590388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4D5"/>
    <w:rsid w:val="001F26B3"/>
    <w:rsid w:val="0029639D"/>
    <w:rsid w:val="00314EF4"/>
    <w:rsid w:val="00326F90"/>
    <w:rsid w:val="00346F20"/>
    <w:rsid w:val="005235FB"/>
    <w:rsid w:val="005D543D"/>
    <w:rsid w:val="0066641A"/>
    <w:rsid w:val="00672963"/>
    <w:rsid w:val="00862D60"/>
    <w:rsid w:val="008D12C2"/>
    <w:rsid w:val="009B2D2B"/>
    <w:rsid w:val="00AA0FAF"/>
    <w:rsid w:val="00AA1D8D"/>
    <w:rsid w:val="00B47730"/>
    <w:rsid w:val="00C076CD"/>
    <w:rsid w:val="00CB0664"/>
    <w:rsid w:val="00D64A88"/>
    <w:rsid w:val="00EC58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D86A3"/>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8767</Words>
  <Characters>49972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14</cp:revision>
  <dcterms:created xsi:type="dcterms:W3CDTF">2013-12-23T23:15:00Z</dcterms:created>
  <dcterms:modified xsi:type="dcterms:W3CDTF">2025-08-12T13:51:00Z</dcterms:modified>
  <cp:category/>
</cp:coreProperties>
</file>