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9C9D" w14:textId="77777777" w:rsidR="00067BDD" w:rsidRDefault="00000000">
      <w:r>
        <w:t>The Pillar 3 disclosure framework seeks to promote transparency and market discipline through regulatory disclosure requirements.</w:t>
      </w:r>
    </w:p>
    <w:p w14:paraId="275ADE58" w14:textId="77777777" w:rsidR="00067BDD" w:rsidRDefault="00000000">
      <w:r>
        <w:t>Mitigating actions, what mitigating actions banks have in place to address those risks, including financing activities that reduce carbon emissions.</w:t>
      </w:r>
    </w:p>
    <w:p w14:paraId="6410AF5B" w14:textId="77777777" w:rsidR="00067BDD" w:rsidRDefault="00000000">
      <w:r>
        <w:t>We apply an organisation-wide approach to risk management and control.</w:t>
      </w:r>
    </w:p>
    <w:p w14:paraId="6F242AA5" w14:textId="77777777" w:rsidR="00067BDD" w:rsidRDefault="00000000">
      <w:r>
        <w:t>This framework brings together various elements that play a role in our banks risk management.</w:t>
      </w:r>
    </w:p>
    <w:p w14:paraId="5984EE0E" w14:textId="77777777" w:rsidR="00067BDD" w:rsidRDefault="00000000">
      <w:r>
        <w:t>Regulatory compliance risk The risk of losses due to intentional or negligent failure to meet regulations, laws and other rules applicable to our services activities.</w:t>
      </w:r>
    </w:p>
    <w:p w14:paraId="5BAD8180" w14:textId="77777777" w:rsidR="00067BDD" w:rsidRDefault="00000000">
      <w:r>
        <w:t>Our bank's Operational Risk Management is organised according to the Three Lines of Defence principle, with the first line responsible for managing the operational risks in our primary processes.</w:t>
      </w:r>
    </w:p>
    <w:p w14:paraId="2A4DF35A" w14:textId="77777777" w:rsidR="00067BDD" w:rsidRDefault="00000000">
      <w:r>
        <w:t>The second line supports the first line to this end, ensuring the effectiveness of risk management by developing a framework, providing advice and monitoring.</w:t>
      </w:r>
    </w:p>
    <w:p w14:paraId="0B7D9419" w14:textId="77777777" w:rsidR="00067BDD" w:rsidRDefault="00000000">
      <w:r>
        <w:t>ORM and Compliance facilitiate the following instruments, Risk control self-assessments, periodically, the first line conducts a self-assessment of the risks and effectiveness of processes and control measures.</w:t>
      </w:r>
    </w:p>
    <w:p w14:paraId="6BA732BC" w14:textId="77777777" w:rsidR="00067BDD" w:rsidRDefault="00000000">
      <w:r>
        <w:t>Incident register and reporting, we register and report incidents to the Non-Financial Risk Committee, which discusses root cause, realted to the incidents including potential control deficiencies and possible measures to prevent similar incidents from occurring.</w:t>
      </w:r>
    </w:p>
    <w:p w14:paraId="08524438" w14:textId="77777777" w:rsidR="00067BDD" w:rsidRDefault="00000000">
      <w:r>
        <w:t>Administrative organisation and internal control AO IC, we have outlined the processes, risks and associated key controls in a Risk &amp; Control Framework and review these periodically.</w:t>
      </w:r>
    </w:p>
    <w:p w14:paraId="570FDDCD" w14:textId="77777777" w:rsidR="00067BDD" w:rsidRDefault="00000000">
      <w:r>
        <w:t>In addition, Internal Audit gives advice on the structure and risk management of our bank.</w:t>
      </w:r>
    </w:p>
    <w:p w14:paraId="16BCE9ED" w14:textId="77777777" w:rsidR="00067BDD" w:rsidRDefault="00000000">
      <w:r>
        <w:t>The fraud risk management measures were strengthened in 2022.</w:t>
      </w:r>
    </w:p>
    <w:p w14:paraId="6866E483" w14:textId="77777777" w:rsidR="00067BDD" w:rsidRDefault="00000000">
      <w:r>
        <w:t>In this process, we broadly assess aspects of transparency and risk management.</w:t>
      </w:r>
    </w:p>
    <w:p w14:paraId="4E59775D" w14:textId="77777777" w:rsidR="00067BDD" w:rsidRDefault="00000000">
      <w:r>
        <w:t>Our Managing Board is responsible for the proper functioning of this process.</w:t>
      </w:r>
    </w:p>
    <w:p w14:paraId="59451BB3" w14:textId="77777777" w:rsidR="00067BDD" w:rsidRDefault="00000000">
      <w:r>
        <w:t>Our bank's information security policy has been drawn up in accordance with the Cybersecurity Framework van National Institute of Standards and Technology and complies with the internationally recognised ISO-27002 code for information security of the Royal Netherlands Standardization Institute NEN.</w:t>
      </w:r>
    </w:p>
    <w:p w14:paraId="4B4497F7" w14:textId="77777777" w:rsidR="00067BDD" w:rsidRDefault="00000000">
      <w:r>
        <w:t>Compliance and integrity are therefore important areas of attention within our bank.</w:t>
      </w:r>
    </w:p>
    <w:p w14:paraId="2186B4D3" w14:textId="77777777" w:rsidR="00067BDD" w:rsidRDefault="00000000">
      <w:r>
        <w:lastRenderedPageBreak/>
        <w:t>We have a second-line compliance function with two core tasks, promoting and monitoring compliance with laws and regulations both internal and external, and promoting integrity.</w:t>
      </w:r>
    </w:p>
    <w:p w14:paraId="47D3D12D" w14:textId="77777777" w:rsidR="00067BDD" w:rsidRDefault="00000000">
      <w:r>
        <w:t>The compliance function reports directly to the CRO and has direct access to the Chair of the Supervisory Board.</w:t>
      </w:r>
    </w:p>
    <w:p w14:paraId="240C92FA" w14:textId="77777777" w:rsidR="00067BDD" w:rsidRDefault="00000000">
      <w:r>
        <w:t>This increases the pressure on managing compliance risks.</w:t>
      </w:r>
    </w:p>
    <w:p w14:paraId="116F3C51" w14:textId="77777777" w:rsidR="00067BDD" w:rsidRDefault="00000000">
      <w:r>
        <w:t>We have a Regulatory Team that identifies developments in laws and regulations, shares information about that and takes appropriate measures.</w:t>
      </w:r>
    </w:p>
    <w:p w14:paraId="7369AB71" w14:textId="77777777" w:rsidR="00067BDD" w:rsidRDefault="00000000">
      <w:r>
        <w:t>If necessary, the Managing Board makes timely adjustments to our strategy.</w:t>
      </w:r>
    </w:p>
    <w:p w14:paraId="37E2FAD9" w14:textId="77777777" w:rsidR="00067BDD" w:rsidRDefault="00000000">
      <w:r>
        <w:t>We maintain a continuous, constructive dialogue with our stakeholders on this issue.</w:t>
      </w:r>
    </w:p>
    <w:p w14:paraId="19BE26C8" w14:textId="77777777" w:rsidR="00067BDD" w:rsidRDefault="00000000">
      <w:r>
        <w:t>In this way, we incorporate impact materiality of clients and invested assets into the financial materiality of the bank and introduce a light version of double materiality into the risk management framework.</w:t>
      </w:r>
    </w:p>
    <w:p w14:paraId="2EE2993B" w14:textId="77777777" w:rsidR="00067BDD" w:rsidRDefault="00000000">
      <w:r>
        <w:t>Responsibility for setting frameworks, policies and monitoring ESG risk management falls explicitly within the second line.</w:t>
      </w:r>
    </w:p>
    <w:p w14:paraId="461D265A" w14:textId="77777777" w:rsidR="00067BDD" w:rsidRDefault="00000000">
      <w:r>
        <w:t>The first line is responsible for analysis, customer due diligence and engagement, and monitoring of sustainability targets, reporting and disclosure.</w:t>
      </w:r>
    </w:p>
    <w:p w14:paraId="67553431" w14:textId="77777777" w:rsidR="00067BDD" w:rsidRDefault="00000000">
      <w:r>
        <w:t>Credit risk is impacted materially by diminished credit qualities of our clients, as a result of ESG factors such as foundation damages caused by drought for housing associations and building impasses leading to an increased shortage of social housing.</w:t>
      </w:r>
    </w:p>
    <w:p w14:paraId="4AC03269" w14:textId="77777777" w:rsidR="00067BDD" w:rsidRDefault="00000000">
      <w:r>
        <w:t>Strategic risk can be impacted by ESG risks through multiple transmission channels such as regulatory uncertainty and changes combined with a failure to respond well to these changes, or a mistrust of or reputational damage to one of our key sectors social housing or water, which could result in a failure to achieve our business model objectives.</w:t>
      </w:r>
    </w:p>
    <w:p w14:paraId="199A74A8" w14:textId="6A6A0E92" w:rsidR="00067BDD" w:rsidRDefault="00000000">
      <w:r>
        <w:t xml:space="preserve">Operational legal risk can be affected by ESG risks through, for example, non-compliance with water quality </w:t>
      </w:r>
      <w:r w:rsidR="0087013D">
        <w:t>t</w:t>
      </w:r>
      <w:r>
        <w:t>he EU Water Framework Directive targets on our clients part which could lead to reputational damage and litigation risks for the entire water sector including our bank.</w:t>
      </w:r>
    </w:p>
    <w:p w14:paraId="557A15AA" w14:textId="77777777" w:rsidR="00067BDD" w:rsidRDefault="00000000">
      <w:r>
        <w:t>Reputational risk may result in a loss of our ability to meet our strategic objectives because we no longer meet the expectations of our clients, regulators, rating agencies, investors or other stakeholders.</w:t>
      </w:r>
    </w:p>
    <w:p w14:paraId="479E0348" w14:textId="77777777" w:rsidR="00067BDD" w:rsidRDefault="00000000">
      <w:r>
        <w:t>Our Managing Board is responsible for managing reputation risk.</w:t>
      </w:r>
    </w:p>
    <w:p w14:paraId="13F0C9E9" w14:textId="77777777" w:rsidR="00067BDD" w:rsidRDefault="00000000">
      <w:r>
        <w:t>Internal governance Our strategy places high demands on risk management and the design and maintenance of adequate internal controls.</w:t>
      </w:r>
    </w:p>
    <w:p w14:paraId="177EA093" w14:textId="77777777" w:rsidR="00067BDD" w:rsidRDefault="00000000">
      <w:r>
        <w:lastRenderedPageBreak/>
        <w:t>An organisation-wide approach is applied to risk management and control.</w:t>
      </w:r>
    </w:p>
    <w:p w14:paraId="6FE2F254" w14:textId="77777777" w:rsidR="00067BDD" w:rsidRDefault="00000000">
      <w:r>
        <w:t>All relevant qualitative information about operational risk can be found in Table EU OVA within Article 2, Risk management objectives and policies.</w:t>
      </w:r>
    </w:p>
    <w:p w14:paraId="707772EE" w14:textId="77777777" w:rsidR="00067BDD" w:rsidRDefault="00000000">
      <w:r>
        <w:t>We have implemented a moderate and sustainable remuneration policy that fits our strategy, low risk profile and risk appetite.</w:t>
      </w:r>
    </w:p>
    <w:p w14:paraId="3180FC63" w14:textId="77777777" w:rsidR="00067BDD" w:rsidRDefault="00000000">
      <w:r>
        <w:t>As a result, our remuneration policy contributes to the realisation of the bank's long-term objectives aimed at long-term value creation.</w:t>
      </w:r>
    </w:p>
    <w:p w14:paraId="3C5F3968" w14:textId="77777777" w:rsidR="00067BDD" w:rsidRDefault="00000000">
      <w:r>
        <w:t>Fixed remuneration Our Managing Boards remuneration policy was revised at the Annual General Meeting in 2020.</w:t>
      </w:r>
    </w:p>
    <w:p w14:paraId="2C2A23A6" w14:textId="77777777" w:rsidR="00067BDD" w:rsidRDefault="00000000">
      <w:r>
        <w:t>Under the remuneration policy, statutory members of the Managing Board appointed on or after 16 April 2020 may receive a maximum salary.</w:t>
      </w:r>
    </w:p>
    <w:p w14:paraId="67A65B1D" w14:textId="77777777" w:rsidR="00067BDD" w:rsidRDefault="00000000">
      <w:r>
        <w:t>In 2020, the employee remuneration policy was evaluated.</w:t>
      </w:r>
    </w:p>
    <w:p w14:paraId="74025022" w14:textId="77777777" w:rsidR="00067BDD" w:rsidRDefault="00000000">
      <w:r>
        <w:t>The remuneration policy is reviewed every five years.</w:t>
      </w:r>
    </w:p>
    <w:p w14:paraId="17C91813" w14:textId="77777777" w:rsidR="00067BDD" w:rsidRDefault="00000000">
      <w:r>
        <w:t>More disclosure on the remuneration policies, responsible committees, governance processes, applied criteria and amounts involved are provided in our Annual Report as well as on our website e.</w:t>
      </w:r>
    </w:p>
    <w:p w14:paraId="18AD3DCA" w14:textId="77777777" w:rsidR="00067BDD" w:rsidRDefault="00000000">
      <w:r>
        <w:t>In this way, we incorporate impact materiality of clients and invested assets into the financial materiality of the bank and introduce a light version of double materiality into the risk management framework.</w:t>
      </w:r>
    </w:p>
    <w:p w14:paraId="49281A4A" w14:textId="77777777" w:rsidR="00067BDD" w:rsidRDefault="00000000">
      <w:r>
        <w:t>Environmental risks are commonly understood to comprise two main risk drivers, Physical risk refers to the risk of any negative financial impact stemming from the physical effects of environmental factors, including the impact of a changing climate.</w:t>
      </w:r>
    </w:p>
    <w:p w14:paraId="228573A8" w14:textId="77777777" w:rsidR="00067BDD" w:rsidRDefault="00000000">
      <w:r>
        <w:t>Social and governance risks Social risks are the risks of any negative financial impact on the bank stemming from the current or prospective impacts of social factors such as inequality, health or labour relations on our clients or invested assets.</w:t>
      </w:r>
    </w:p>
    <w:p w14:paraId="74B2C7A6" w14:textId="77777777" w:rsidR="00067BDD" w:rsidRDefault="00000000">
      <w:r>
        <w:t>These risks generally relate to human rights and are largely based on the United Nations Guiding Principles on Business and Human rights and the UN Principles for Responsible Investment.</w:t>
      </w:r>
    </w:p>
    <w:p w14:paraId="09A2206C" w14:textId="77777777" w:rsidR="00067BDD" w:rsidRDefault="00000000">
      <w:r>
        <w:t>Strategic risk can be impacted by ESG risks through multiple transmission channels such as regulatory uncertainty and changes combined with a failure to respond well to these changes, or a mistrust of or reputational damage to one of our key sectors social housing or water, which could result in a failure to achieve our business model objectives.</w:t>
      </w:r>
    </w:p>
    <w:p w14:paraId="2BC27F1D" w14:textId="77777777" w:rsidR="00067BDD" w:rsidRDefault="00000000">
      <w:r>
        <w:lastRenderedPageBreak/>
        <w:t>Operational legal risk can be affected by ESG risks through, for example, noncompliance with water quality Water Framework Directive targets on our clients part which could lead to reputational damage and litigation risks for the entire water sector including our bank.</w:t>
      </w:r>
    </w:p>
    <w:p w14:paraId="5F9357FF" w14:textId="77777777" w:rsidR="00067BDD" w:rsidRDefault="00000000">
      <w:r>
        <w:t>This has led to the development of a systematic data collection process, which ultimately caters to the various ambitions aimed at the quantitative assessment and monitoring of ESG risks.</w:t>
      </w:r>
    </w:p>
    <w:p w14:paraId="32A3B106" w14:textId="77777777" w:rsidR="00067BDD" w:rsidRDefault="00000000">
      <w:r>
        <w:t>The working group has also defined an ESG data strategy and ESG data governance within the bank, all of which ensures improving data availability, quality and assurance.</w:t>
      </w:r>
    </w:p>
    <w:p w14:paraId="4CCAEF6C" w14:textId="77777777" w:rsidR="00067BDD" w:rsidRDefault="00000000">
      <w:r>
        <w:t>Physical effects of warming and transition risk Paris agreements 2050, net zero carbon emissions Yearly reduction of emissions Energy label performance indicator, social housing Transition risk energy performance and related policy changes 2028, 3% EFG energy labels 2027, 4% 2026, 6% 2025, 8% 2024, 9% Energy label performance indicator, municipalities Transition risk energy performance and related policy changes 2024, 38% % utility building energy label D or lower Development energy neutrality, water authorities Transition risk energy use and related policy changes 2025, 95% energy neutrality Yearly linear increase 2024, 85% Area of public green surface, municipalities Physical heat stress and biodiversity loss 30% as minimum threshold 2024, 31.</w:t>
      </w:r>
    </w:p>
    <w:p w14:paraId="204FDD93" w14:textId="77777777" w:rsidR="00067BDD" w:rsidRDefault="00000000">
      <w:r>
        <w:t>As a bank of and for the public water sector, a key player in financing the Dutch public sector, and a financing partner for enhancing sustainability in the Netherlands, we are committed to delivering a responsible social return through our business model and strategy.</w:t>
      </w:r>
    </w:p>
    <w:p w14:paraId="32F413FD" w14:textId="77777777" w:rsidR="00067BDD" w:rsidRDefault="00000000">
      <w:r>
        <w:t>As a promotional bank, we do not pursue profit maximization, but rather focus on creating long-term societal impact which includes climate adaptation and mitigation.</w:t>
      </w:r>
    </w:p>
    <w:p w14:paraId="58AFA49B" w14:textId="77777777" w:rsidR="00067BDD" w:rsidRDefault="00000000">
      <w:r>
        <w:t>All of our clients are part of the public sector and therefore, by virtue of their public task, committed to sustainability.</w:t>
      </w:r>
    </w:p>
    <w:p w14:paraId="654AA406" w14:textId="77777777" w:rsidR="00067BDD" w:rsidRDefault="00000000">
      <w:r>
        <w:t>Housing associations, on the other hand, have a crucial part to play in increasing the countrys resilience and adaptation to climate risks and in delivering social impact by providing and adapting approximately 30% of the total housing in the Netherlands.</w:t>
      </w:r>
    </w:p>
    <w:p w14:paraId="7B837296" w14:textId="77777777" w:rsidR="00067BDD" w:rsidRDefault="00000000">
      <w:r>
        <w:t>Objectives, targets and limits In 2018, we have adopted the new 'sustainable water bank strategy', paying homage to our roots as the financier of water authorities and recognizing that sustainability is one of the most important challenges for Dutch society and therefore for our clients.</w:t>
      </w:r>
    </w:p>
    <w:p w14:paraId="7CCFE0B8" w14:textId="77777777" w:rsidR="00067BDD" w:rsidRDefault="00000000">
      <w:r>
        <w:t>As part of this strategy, we published our climate action plan in which we have laid out a transition plan and path for the bank and our clients towards the Paris goal of 2050.</w:t>
      </w:r>
    </w:p>
    <w:p w14:paraId="4DECF931" w14:textId="77777777" w:rsidR="00067BDD" w:rsidRDefault="00000000">
      <w:r>
        <w:t>As part of this climate action plan we defined Science Based Targets or key performance indicators for our lending portfolio that focus largely on emission reduction.</w:t>
      </w:r>
    </w:p>
    <w:p w14:paraId="17209A81" w14:textId="77777777" w:rsidR="00067BDD" w:rsidRDefault="00000000">
      <w:r>
        <w:lastRenderedPageBreak/>
        <w:t>A climate dashboard is set up in which yearly progress can be monitored on client, sector and portfolio level, of the bank's CO2-eq reduction goals.</w:t>
      </w:r>
    </w:p>
    <w:p w14:paraId="58D40833" w14:textId="77777777" w:rsidR="00067BDD" w:rsidRDefault="00000000">
      <w:r>
        <w:t>ESG risk considerations are integrated into sustainability objectives through the formulation of key risk indicators for key sectors.</w:t>
      </w:r>
    </w:p>
    <w:p w14:paraId="594B755A" w14:textId="77777777" w:rsidR="00067BDD" w:rsidRDefault="00000000">
      <w:r>
        <w:t>Current and future investment activities We aim to make our loan portfolio energy positive by 2035, on our way to carbon neutral by 2050.</w:t>
      </w:r>
    </w:p>
    <w:p w14:paraId="3EE1DBF5" w14:textId="77777777" w:rsidR="00067BDD" w:rsidRDefault="00000000">
      <w:r>
        <w:t>We aim to achieve this by encouraging our clients to reduce their energy consumption as much as possible and to use renewable energy wherever possible.</w:t>
      </w:r>
    </w:p>
    <w:p w14:paraId="79C00CCF" w14:textId="77777777" w:rsidR="00067BDD" w:rsidRDefault="00000000">
      <w:r>
        <w:t>Moreover, to further promote sustainability among clients and implement its policies, we offer clients the opportunity to take out Sustainability Linked Loans SLLs.</w:t>
      </w:r>
    </w:p>
    <w:p w14:paraId="57B853FD" w14:textId="77777777" w:rsidR="00067BDD" w:rsidRDefault="00000000">
      <w:r>
        <w:t>With these loans, they can receive interest rebates for good sustainability performance, according to pre-agreed targets set out in the additional loan conditions.</w:t>
      </w:r>
    </w:p>
    <w:p w14:paraId="557AF53D" w14:textId="77777777" w:rsidR="00067BDD" w:rsidRDefault="00000000">
      <w:r>
        <w:t>Sustainability policies and engagement Our ESG Risk Management Policy sets out the bank-wide governance to manage and address ESG risks and describes all the processes and procedures that we have in place to do so.</w:t>
      </w:r>
    </w:p>
    <w:p w14:paraId="691F0750" w14:textId="77777777" w:rsidR="00067BDD" w:rsidRDefault="00000000">
      <w:r>
        <w:t>This includes laying out an ESG Risk Strategy and the ESG Risk management cycle as described above.</w:t>
      </w:r>
    </w:p>
    <w:p w14:paraId="66688651" w14:textId="77777777" w:rsidR="00067BDD" w:rsidRDefault="00000000">
      <w:r>
        <w:t>Additionally, we have a sustainability policy which is publicly available on our website.</w:t>
      </w:r>
    </w:p>
    <w:p w14:paraId="52F5ADBD" w14:textId="77777777" w:rsidR="00067BDD" w:rsidRDefault="00000000">
      <w:r>
        <w:t>The sustainability policy details our management approach to sustainability, the relevant policy themes and the actions we takes to make our loan portfolio and internal operations more sustainable.</w:t>
      </w:r>
    </w:p>
    <w:p w14:paraId="3616FD1C" w14:textId="77777777" w:rsidR="00067BDD" w:rsidRDefault="00000000">
      <w:r>
        <w:t>An addendum to the sustainability policy is focused on ESG criteria for our liquidity portfolio.</w:t>
      </w:r>
    </w:p>
    <w:p w14:paraId="2AF8DFA8" w14:textId="77777777" w:rsidR="00067BDD" w:rsidRDefault="00000000">
      <w:r>
        <w:t>Both the Managing BoardExecutive Committee and the Supervisory Board have expertise and knowledge in the area of ESG risk and ensure that this knowledge and expertise can be found throughout the organization.</w:t>
      </w:r>
    </w:p>
    <w:p w14:paraId="28A90A9F" w14:textId="77777777" w:rsidR="00067BDD" w:rsidRDefault="00000000">
      <w:r>
        <w:t>Within the three lines of defence, the following ESG governance is in place, responsibility for setting frameworks, policies and monitoring ESG risk management falls explicitly within the second line of defence.</w:t>
      </w:r>
    </w:p>
    <w:p w14:paraId="78094063" w14:textId="77777777" w:rsidR="00067BDD" w:rsidRDefault="00000000">
      <w:r>
        <w:t>The first line is responsible for analysis, customer due diligence and engagement, and monitoring of sustainability targets, reporting and disclosure.</w:t>
      </w:r>
    </w:p>
    <w:p w14:paraId="15F812E0" w14:textId="77777777" w:rsidR="00067BDD" w:rsidRDefault="00000000">
      <w:r>
        <w:t>In reporting this template, we relied on the assumption of materiality, we report, next to the gross carrying amount, only the exposures of the bank that are materially sensitive to climate change physical risk.</w:t>
      </w:r>
    </w:p>
    <w:p w14:paraId="68F8C70E" w14:textId="77777777" w:rsidR="00067BDD" w:rsidRDefault="00000000">
      <w:r>
        <w:lastRenderedPageBreak/>
        <w:t>Due to this location on a national level, and taking the mean risk of flooding and drought within the Netherlands, we assumed a medium risk to acute climate change physical risk and chose to report the entire exposure as sensitive to impact from climate change physical events.</w:t>
      </w:r>
    </w:p>
    <w:p w14:paraId="2AF96052" w14:textId="77777777" w:rsidR="00067BDD" w:rsidRDefault="00000000">
      <w:r>
        <w:t>The mapping to the climate risk data resulted in a low risk of flooding and drought, thus leading to the conclusion that these exposures are not sensitive to impact from climate change physical risk.</w:t>
      </w:r>
    </w:p>
    <w:p w14:paraId="3BF0E369" w14:textId="77777777" w:rsidR="00067BDD" w:rsidRDefault="00000000">
      <w:r>
        <w:t>Our SDG Housing Bond Framework shows that 80% of the financing to housing associations is used for social housing.</w:t>
      </w:r>
    </w:p>
    <w:sectPr w:rsidR="00067B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23924621">
    <w:abstractNumId w:val="8"/>
  </w:num>
  <w:num w:numId="2" w16cid:durableId="338123616">
    <w:abstractNumId w:val="6"/>
  </w:num>
  <w:num w:numId="3" w16cid:durableId="242908964">
    <w:abstractNumId w:val="5"/>
  </w:num>
  <w:num w:numId="4" w16cid:durableId="1290211429">
    <w:abstractNumId w:val="4"/>
  </w:num>
  <w:num w:numId="5" w16cid:durableId="992295254">
    <w:abstractNumId w:val="7"/>
  </w:num>
  <w:num w:numId="6" w16cid:durableId="100225577">
    <w:abstractNumId w:val="3"/>
  </w:num>
  <w:num w:numId="7" w16cid:durableId="2075083012">
    <w:abstractNumId w:val="2"/>
  </w:num>
  <w:num w:numId="8" w16cid:durableId="1919050462">
    <w:abstractNumId w:val="1"/>
  </w:num>
  <w:num w:numId="9" w16cid:durableId="140911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DD"/>
    <w:rsid w:val="0015074B"/>
    <w:rsid w:val="0029639D"/>
    <w:rsid w:val="00326F90"/>
    <w:rsid w:val="0087013D"/>
    <w:rsid w:val="00AA1D8D"/>
    <w:rsid w:val="00B47730"/>
    <w:rsid w:val="00CB0664"/>
    <w:rsid w:val="00D45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44B79"/>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2025-08-01T11:38:00Z</dcterms:modified>
  <cp:category/>
</cp:coreProperties>
</file>