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Pillar 3 disclosure framework seeks to promote transparency and market discipline through regulatory disclosure requirements.</w:t>
      </w:r>
    </w:p>
    <w:p>
      <w:r>
        <w:t>In this way, we incorporate impact materiality of our clients and invested assets into the financial materiality of the bank and introduce a light version of double materiality into the risk management framework.</w:t>
      </w:r>
    </w:p>
    <w:p>
      <w:r>
        <w:t>Environmental risks are commonly understood to comprise two main risk drivers, Physical risk refers to the risk of any negative financial impact stemming from the physical effects of environmental factors, including the impact of a changing climate.</w:t>
      </w:r>
    </w:p>
    <w:p>
      <w:r>
        <w:t>Social and governance risks Social risks are the risks of any negative financial impact on the bank stemming from the current or prospective impacts of social factors such as inequality, health or labour relations on our clients or invested assets.</w:t>
      </w:r>
    </w:p>
    <w:p>
      <w:r>
        <w:t>These risks generally relate to human rights and are largely based on the United Nations Guiding Principles on Business and Human rights and the UN Principles for Responsible Investment.</w:t>
      </w:r>
    </w:p>
    <w:p>
      <w:r>
        <w:t>The assessment leads to the identification of material environmental, social and governance risk drivers in the short &lt;3 years, medium 3 &lt;10 years and long term 10&gt; years, with a subsequent assessment of the impact on the banks traditional financial and non-financial risk categories through the so-called transmission channels.</w:t>
      </w:r>
    </w:p>
    <w:p>
      <w:r>
        <w:t>It can also follow from a mistrust of or reputational damage to one of our key sectors social housing or water, which could result in a failure to achieve our business model objectives.</w:t>
      </w:r>
    </w:p>
    <w:p>
      <w:r>
        <w:t>Operational legal risk can be affected by ESG risks through, for example, noncompliance with water quality Water Framework Directive targets on our clients part which could lead to reputational damage and litigation risks for the entire water sector including our bank.</w:t>
      </w:r>
    </w:p>
    <w:p>
      <w:r>
        <w:t>This has led to the development of a systematic data collection process, which ultimately caters to the various ambitions aimed at the quantitative assessment and monitoring of ESG risks.</w:t>
      </w:r>
    </w:p>
    <w:p>
      <w:r>
        <w:t>The working group has also defined an ESG data strategy and ESG data governance within the bank, all of which ensures improving data availability, quality and assurance.</w:t>
      </w:r>
    </w:p>
    <w:p>
      <w:r>
        <w:t>Physical effects of warming and transition risk Paris agreements 2050, net zero carbon emissions Yearly reduction of emissions Energy label performance indicator, social housing Transition risk energy performance and related policy changes 2028, 3% EFG energy labels 2027, 4% 2026, 6% 2025, 8% 2024, 9% Energy label performance indicator, municipalities Transition risk energy performance and related policy changes 2024, 38% % utility building energy label D or lower Development energy neutrality, water authorities Transition risk energy use and related policy changes 2025, 95% energy neutrality Yearly linear increase 2024, 85% Area of public green surface, municipalities Physical heat stress and biodiversity loss 30% as minimum threshold 2024, 31.</w:t>
      </w:r>
    </w:p>
    <w:p>
      <w:r>
        <w:t>As a bank of and for the public water sector, a key player in financing the Dutch public sector, and a financing partner for enhancing sustainability in the Netherlands, we are committed to delivering a responsible social return through our strategy and business model.</w:t>
      </w:r>
    </w:p>
    <w:p>
      <w:r>
        <w:t>As a promotional bank, we do not pursue profit maximization, but rather focus on creating long-term societal impact which includes climate adaptation, mitigation and the preservation and restoration of nature.</w:t>
      </w:r>
    </w:p>
    <w:p>
      <w:r>
        <w:t>All of our clients are part of the public sector and therefore, by virtue of their public task, committed to sustainability.</w:t>
      </w:r>
    </w:p>
    <w:p>
      <w:r>
        <w:t>Housing associations, on the other hand, have a crucial part to play in increasing the countrys resilience and adaptation to climate risks and in delivering social impact by providing and adapting approximately 30% of the total housing in the Netherlands.</w:t>
      </w:r>
    </w:p>
    <w:p>
      <w:r>
        <w:t>Objectives, targets and limits In 2018, we have adopted the new 'sustainable water bank strategy', paying homage to our roots as the financier of water authorities and recognizing that sustainability is one of the most important challenges for Dutch society and therefore for our clients.</w:t>
      </w:r>
    </w:p>
    <w:p>
      <w:r>
        <w:t>As part of this strategy, we published our climate action plan in which we have laid out a transition plan and path for the bank and our clients towards the Paris goal of 2050.</w:t>
      </w:r>
    </w:p>
    <w:p>
      <w:r>
        <w:t>As part of this climate action plan we defined Science Based Targets or key performance indicators for our lending portfolio that focus largely on emission reduction.</w:t>
      </w:r>
    </w:p>
    <w:p>
      <w:r>
        <w:t>A climate dashboard is set up in which yearly progress can be monitored on client, sector and portfolio level, of the bank's CO2-eq reduction goals.</w:t>
      </w:r>
    </w:p>
    <w:p>
      <w:r>
        <w:t>ESG risk considerations are integrated into sustainability objectives through the formulation of key risk indicators for key sectors.</w:t>
      </w:r>
    </w:p>
    <w:p>
      <w:r>
        <w:t>Current and future investment activities We aim to make our loan portfolio energy positive by 2035, on our way to carbon neutral by 2050.</w:t>
      </w:r>
    </w:p>
    <w:p>
      <w:r>
        <w:t>We aim to achieve this by encouraging our clients to reduce their energy consumption as much as possible and to use renewable energy wherever possible.</w:t>
      </w:r>
    </w:p>
    <w:p>
      <w:r>
        <w:t>Moreover, to further promote sustainability among clients and implement its policies, we offer clients the opportunity to take out Sustainability Linked Loans SLLs.</w:t>
      </w:r>
    </w:p>
    <w:p>
      <w:r>
        <w:t>With these loans, they can receive interest rebates for good sustainability performance, according to pre-agreed targets set out in the additional loan conditions.</w:t>
      </w:r>
    </w:p>
    <w:p>
      <w:r>
        <w:t>Sustainability policies and engagement Our ESG Risk Management Policy sets out the bank-wide governance to manage and address ESG risks and describes all the processes and procedures that we have in place to do so.</w:t>
      </w:r>
    </w:p>
    <w:p>
      <w:r>
        <w:t>This includes laying out an ESG Risk Strategy and the ESG Risk Management cycle as described above.</w:t>
      </w:r>
    </w:p>
    <w:p>
      <w:r>
        <w:t>Additionally, we have a Sustainability Policy which is publicly available on our website.</w:t>
      </w:r>
    </w:p>
    <w:p>
      <w:r>
        <w:t>The Sustainability Policy details our management approach to sustainability, the relevant policy themes and the actions we takes to make our loan portfolio and internal operations more sustainable.</w:t>
      </w:r>
    </w:p>
    <w:p>
      <w:r>
        <w:t>An addendum to the Sustainability Policy is focused on ESG criteria for our liquidity portfolio.</w:t>
      </w:r>
    </w:p>
    <w:p>
      <w:r>
        <w:t>In line with the Science-Based Targets initiative, the Climate Action Plan also contains targets with a reduction and an engagement component.</w:t>
      </w:r>
    </w:p>
    <w:p>
      <w:r>
        <w:t>It helps us to identify which risks clients identify themselves as well as monitor progress in regard to sustainability and ESG risk targets.</w:t>
      </w:r>
    </w:p>
    <w:p>
      <w:r>
        <w:t>Both the Managing BoardExecutive Committee and the Supervisory Board have expertise and knowledge in the area of ESG risk and ensure that this knowledge and expertise can be found throughout the organization.</w:t>
      </w:r>
    </w:p>
    <w:p>
      <w:r>
        <w:t>Within the three lines of defence, the following ESG governance is in place, responsibility for setting frameworks, policies and monitoring ESG risk management falls explicitly within the second line of defence.</w:t>
      </w:r>
    </w:p>
    <w:p>
      <w:r>
        <w:t>The first line is responsible for analysis, customer due diligence and engagement, and monitoring of sustainability targets, reporting and disclosure.</w:t>
      </w:r>
    </w:p>
    <w:p>
      <w:r>
        <w:t>In reporting this template, we relied on the assumption of materiality, we report, next to the gross carrying amount, only the exposures of the bank that are materially sensitive to climate change physical risk.</w:t>
      </w:r>
    </w:p>
    <w:p>
      <w:r>
        <w:t>Due to this location on a national level, and taking the mean risk of flooding and drought within the Netherlands, we assumed a medium risk to acute climate change physical risk and chose to report the entire exposure as sensitive to impact from climate change physical events.</w:t>
      </w:r>
    </w:p>
    <w:p>
      <w:r>
        <w:t>The mapping to the climate risk data resulted in a low risk of flooding and drought, thus leading to the conclusion that these exposures are not sensitive to impact from climate change physical risk.</w:t>
      </w:r>
    </w:p>
    <w:p>
      <w:r>
        <w:t>Our SDG Housing Bond Framework shows that 80% of the financing to housing associations is used for social housing.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