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FAFDB" w14:textId="77777777" w:rsidR="00B60A59" w:rsidRDefault="00000000">
      <w:r>
        <w:t>This includes a number of key initiatives, including the introduction of a front-office excellence training programme, the acceleration of the ongoing shift of smaller clients to a dedicated proposition that efficiently meets their needs, and the establishment of rigorous, data-driven analysis of all client activity so we can serve them even better.</w:t>
      </w:r>
    </w:p>
    <w:p w14:paraId="591A3F25" w14:textId="77777777" w:rsidR="00B60A59" w:rsidRDefault="00000000">
      <w:r>
        <w:t>In 2024, we will introduce a number of culture and employee engagement initiatives, including further enhancements to our approach to lifelong learning and development.</w:t>
      </w:r>
    </w:p>
    <w:p w14:paraId="5EF55F6F" w14:textId="77777777" w:rsidR="00B60A59" w:rsidRDefault="00000000">
      <w:r>
        <w:t>That strategy which reflects a materiality assessment based on extensive stakeholder engagement defines long-term sustainability ambitions that encompass corporate culture, client service, workforce management and climate change.</w:t>
      </w:r>
    </w:p>
    <w:p w14:paraId="065AFBDF" w14:textId="77777777" w:rsidR="00B60A59" w:rsidRDefault="00000000">
      <w:r>
        <w:t>Specifically in terms of climate and environmental risks, relevant information is provided in the Risk Management notes 38 and 37 of the Financial Statements for the consolidated and statutory versions, respectively.</w:t>
      </w:r>
    </w:p>
    <w:p w14:paraId="3FE4B3A9" w14:textId="77777777" w:rsidR="00B60A59" w:rsidRDefault="00000000">
      <w:r>
        <w:t>In 2024, digital will continue to prove integral to Quintets broader process simplification and standardization agenda as well as to the further enhancement of client experience, including through the ongoing development of Quintets client lifecycle management platform and processes.</w:t>
      </w:r>
    </w:p>
    <w:p w14:paraId="43CD3E93" w14:textId="77777777" w:rsidR="00B60A59" w:rsidRDefault="00000000">
      <w:r>
        <w:t>In addition to its ongoing monitoring and oversight responsibilities under the Group governance and risk framework, the Group Risk Control function made the following key achievements in 2023, Climate-related &amp; environmental C&amp;E risk management, The risk identification and materiality assessment for C&amp;E risks has been significantly extended, including a more thorough assessment of how C&amp;E risks affect the business environment in which Quintet operates.</w:t>
      </w:r>
    </w:p>
    <w:p w14:paraId="33E6619F" w14:textId="77777777" w:rsidR="00B60A59" w:rsidRDefault="00000000">
      <w:r>
        <w:t>A new risk management framework for C&amp;E risks has been set up, governing the roles and responsibilities of 1st and 2nd LoD stakeholders and deploying a new set of C&amp;E risk metrics and limits, covering all key business areas of the Group Credit risk, The Group Credit Policy has been updated to track more closely policy exceptions and deviations.</w:t>
      </w:r>
    </w:p>
    <w:p w14:paraId="283BF0E6" w14:textId="77777777" w:rsidR="00B60A59" w:rsidRDefault="00000000">
      <w:r>
        <w:t>The function partners with the business to provide support and guidance to consistently improve operational risk management and processes, while keeping client and colleague experience at the forefront, ensuring that Quintet conducts its business in the most effective and sustainable way.</w:t>
      </w:r>
    </w:p>
    <w:p w14:paraId="6314309A" w14:textId="77777777" w:rsidR="00B60A59" w:rsidRDefault="00000000">
      <w:r>
        <w:t>All staff are expected to adhere to these laws, regulations and ethical standards, and management is responsible for ensuring such compliance.</w:t>
      </w:r>
    </w:p>
    <w:p w14:paraId="189971A5" w14:textId="77777777" w:rsidR="00B60A59" w:rsidRDefault="00000000">
      <w:r>
        <w:t>The Compliance Function hereafter Compliance is therefore an essential element of good corporate governance and sound and controlled operations.</w:t>
      </w:r>
    </w:p>
    <w:p w14:paraId="51A9776B" w14:textId="77777777" w:rsidR="00B60A59" w:rsidRDefault="00000000">
      <w:r>
        <w:t>Compliance assists Quintets senior management team in providing Quintet with measures to comply with the applicable laws, regulations and standards related to topics under Compliances remit.</w:t>
      </w:r>
    </w:p>
    <w:p w14:paraId="6D5731B7" w14:textId="77777777" w:rsidR="00B60A59" w:rsidRDefault="00000000">
      <w:r>
        <w:lastRenderedPageBreak/>
        <w:t>The Compliance function's objectives, responsibilities and powers are set out in its Charter, as approved by the Group's AMC and BoD.</w:t>
      </w:r>
    </w:p>
    <w:p w14:paraId="451B1E42" w14:textId="77777777" w:rsidR="00B60A59" w:rsidRDefault="00000000">
      <w:r>
        <w:t>It documents sound practices to help ensure that Compliance activities are managed and controlled in an effective and consistent manner across Quintet.</w:t>
      </w:r>
    </w:p>
    <w:p w14:paraId="3C64AFA8" w14:textId="77777777" w:rsidR="00B60A59" w:rsidRDefault="00000000">
      <w:r>
        <w:t>Furthermore, the Board Risk and Compliance Committee is informed of, and regularly monitors, the adequacy of Compliance measures.</w:t>
      </w:r>
    </w:p>
    <w:p w14:paraId="6B2ED3B2" w14:textId="77777777" w:rsidR="00B60A59" w:rsidRDefault="00000000">
      <w:r>
        <w:t>Compliance is responsible for the prompt identification of regulatory initiatives that may have a potential impact on the Group as well as for the oversight of their implementation.</w:t>
      </w:r>
    </w:p>
    <w:p w14:paraId="7E7C36CA" w14:textId="77777777" w:rsidR="00B60A59" w:rsidRDefault="00000000">
      <w:r>
        <w:t>Compliance provides technical assistance to projects and working groups set up by the business to ensure these can adopt regulatory compliant commercial decisions.</w:t>
      </w:r>
    </w:p>
    <w:p w14:paraId="7E4EEF92" w14:textId="77777777" w:rsidR="00B60A59" w:rsidRDefault="00000000">
      <w:r>
        <w:t>The Compliance control framework is part of the Banks general internal control framework.</w:t>
      </w:r>
    </w:p>
    <w:p w14:paraId="3549AE8C" w14:textId="77777777" w:rsidR="00B60A59" w:rsidRDefault="00000000">
      <w:r>
        <w:t>This methodology for evaluating compliance risk targets a more refined and better documented risk analysis.</w:t>
      </w:r>
    </w:p>
    <w:p w14:paraId="66BA0A19" w14:textId="77777777" w:rsidR="00B60A59" w:rsidRDefault="00000000">
      <w:r>
        <w:t>That is why we continually invest in the skills and development of our people, including based on each colleagues personal development plan as well as group-wide initiatives such as Learning Month.</w:t>
      </w:r>
    </w:p>
    <w:p w14:paraId="0A2247BD" w14:textId="77777777" w:rsidR="00B60A59" w:rsidRDefault="00000000">
      <w:r>
        <w:t>How the matter was addressed in our audit We obtained an understanding of the Group's internal control and tested the design and operating effectiveness of the manual and automated key controls relating to the assessment of credit risk and the measurement of expected credit losses.</w:t>
      </w:r>
    </w:p>
    <w:p w14:paraId="6026CB4A" w14:textId="77777777" w:rsidR="00B60A59" w:rsidRDefault="00000000">
      <w:r>
        <w:t>This included assessing the appropriateness of model design and formulas used, considering alternative modelling techniques and recalculating the Probability of Default, Loss Given Default and Exposure at Default for a sample of models, as well as challenging the forward looking macro-economic scenarios We performed an overall assessment of the ECL provision levels by stage to determine if they were reasonable considering the Group's portfolio, risk profile, credit risk management practices and the macroeconomic 41 environment We performed substantive audit procedures on a sample of defaulted loans and advances to customers, consisting of key items.</w:t>
      </w:r>
    </w:p>
    <w:p w14:paraId="4B51C779" w14:textId="77777777" w:rsidR="00B60A59" w:rsidRDefault="00000000">
      <w:r>
        <w:t>Responsibilities of the reviseur d'entreprises agree for the audit of the consolidated financial statements The objectives of our audit are to obtain reasonable assurance about whether the consolidated financial statements as a whole are free from material misstatement, whether due to fraud or error, and to issue a report of the reviseur d'entreprises agree that includes our opinion.</w:t>
      </w:r>
    </w:p>
    <w:p w14:paraId="1B5E54E3" w14:textId="0AEB45DA" w:rsidR="00B60A59" w:rsidRDefault="00000000">
      <w:r>
        <w:t xml:space="preserve">A member firm of Ernst &amp; Young Global Limited EY Building a better working world As part of an audit in accordance with EU Regulation N 5372014, the Law of 23 July 2016 and with </w:t>
      </w:r>
      <w:r>
        <w:lastRenderedPageBreak/>
        <w:t>ISAs as adopted for Luxembourg by the CSSF, we exercise professional judgment and maintain professional skepticism throughout the audit.</w:t>
      </w:r>
    </w:p>
    <w:p w14:paraId="0CEB3979" w14:textId="77777777" w:rsidR="00B60A59" w:rsidRDefault="00000000">
      <w:r>
        <w:t>However, future events or conditions may cause the Group to cease to continue as a going concern Evaluate the overall presentation, structure and content of the consolidated financial statements, including the disclosures, and whether the consolidated financial statements represent the underlying transactions and events in a manner that achieves fair presentation Obtain sufficient appropriate audit evidence regarding the financial information of the entities and business activities within the Group to express an opinion on the consolidated financial statements.</w:t>
      </w:r>
    </w:p>
    <w:p w14:paraId="3708827E" w14:textId="77777777" w:rsidR="00B60A59" w:rsidRDefault="00000000">
      <w:r>
        <w:t>We are responsible for the direction, supervision and performance of the Group audit.</w:t>
      </w:r>
    </w:p>
    <w:p w14:paraId="5C82E3B4" w14:textId="77777777" w:rsidR="00B60A59" w:rsidRDefault="00000000">
      <w:r>
        <w:t>We remain solely responsible for our audit opinion We communicate with those charged with governance regarding, among other matters, the planned scope and timing of the audit and significant audit findings, including any significant deficiencies in internal control that we identify during our audit.</w:t>
      </w:r>
    </w:p>
    <w:p w14:paraId="2466589E" w14:textId="77777777" w:rsidR="00B60A59" w:rsidRDefault="00000000">
      <w:r>
        <w:t>Note 2a Statement of compliance These consolidated financial statements were approved by the Board of Directors of Quintet on 26 March 2024.</w:t>
      </w:r>
    </w:p>
    <w:p w14:paraId="05627247" w14:textId="77777777" w:rsidR="00B60A59" w:rsidRDefault="00000000">
      <w:r>
        <w:t>In preparing the consolidated financial statements under IFRS, the Board of Directors is required to make estimates and assumptions that affect reported income, expenses, assets, liabilities and disclosure of contingent assets and liabilities.</w:t>
      </w:r>
    </w:p>
    <w:p w14:paraId="2CC6CF35" w14:textId="77777777" w:rsidR="00B60A59" w:rsidRDefault="00000000">
      <w:r>
        <w:t>Viable versus non-viable forbearance The Bank considers the following factors when assessing the viability of the forbearance measure, The Bank can demonstrate that the borrower can afford the forbearance solution, i.</w:t>
      </w:r>
    </w:p>
    <w:p w14:paraId="6207EDAF" w14:textId="77777777" w:rsidR="00B60A59" w:rsidRDefault="00000000">
      <w:r>
        <w:t>Full repayment is expected The resolution of outstanding arrears is fully or mostly addressed and a significant reduction in the borrowers balance in the medium to long-term is expected Also, additional internal controls are implemented for situations where new forbearance measures have to be granted for already forborne exposure, to ensure that they are viable.</w:t>
      </w:r>
    </w:p>
    <w:p w14:paraId="65362CB6" w14:textId="77777777" w:rsidR="00B60A59" w:rsidRDefault="00000000">
      <w:r>
        <w:t>Both components are in the scope of ALMIRRBB risk management framework.</w:t>
      </w:r>
    </w:p>
    <w:p w14:paraId="6A5E2FA9" w14:textId="77777777" w:rsidR="00B60A59" w:rsidRDefault="00000000">
      <w:r>
        <w:t>When they have a Group dimension, it has to ensure their implementation within the limits of the governance constraints in place.</w:t>
      </w:r>
    </w:p>
    <w:p w14:paraId="3A5755AA" w14:textId="77777777" w:rsidR="00B60A59" w:rsidRDefault="00000000">
      <w:r>
        <w:t>ALM policy The documents entitled Group ALM Framework and Group ALM Investment Policy describe a.</w:t>
      </w:r>
    </w:p>
    <w:p w14:paraId="437E2A7B" w14:textId="77777777" w:rsidR="00B60A59" w:rsidRDefault="00000000">
      <w:r>
        <w:t>The ALM objectives, governance and constraints credit risk, liquidity, among others.</w:t>
      </w:r>
    </w:p>
    <w:p w14:paraId="5A3094B6" w14:textId="77777777" w:rsidR="00B60A59" w:rsidRDefault="00000000">
      <w:r>
        <w:t>Measurement and monitoring of ALM risks In 2023, the refresh of the Risk Appetite Statement Framework has set up a new risk dashboard structure and limits.</w:t>
      </w:r>
    </w:p>
    <w:p w14:paraId="14C5F6C4" w14:textId="77777777" w:rsidR="00B60A59" w:rsidRDefault="00000000">
      <w:r>
        <w:lastRenderedPageBreak/>
        <w:t>Climate-related and environmental risks Climate-related and environmental risk or C&amp;E risk hereafter is defined as the risk of economic costs and financial losses arising from climate change, the efforts to mitigate climate change, environmental degradation or the loss of ecosystem services.</w:t>
      </w:r>
    </w:p>
    <w:p w14:paraId="09987F38" w14:textId="77777777" w:rsidR="00B60A59" w:rsidRDefault="00000000">
      <w:r>
        <w:t>In addition to the responsibilities vis-à-vis our staff and clients, the following goals in relation to climate change were set, Reducing absolute Scope 1, 2 and operational Scope 3 GHG emissions by 50% by 2032 and as close as possible to 100% by 2050, from a 2022 base year Reducing carbon intensity emissions for our financed Scope 3 emissions by 20% between 2024 and 2030 compared to 2023 base year for DPM in-scope products and services are flagship discretionary funds and any other new sustainable solutions.</w:t>
      </w:r>
    </w:p>
    <w:p w14:paraId="3A553BCB" w14:textId="77777777" w:rsidR="00B60A59" w:rsidRDefault="00000000">
      <w:r>
        <w:t>The 3rd LoD Internal Audit reviews the C&amp;E risk management arrangements based on its risk assessment and multi-year audit plan.</w:t>
      </w:r>
    </w:p>
    <w:p w14:paraId="72E3BA47" w14:textId="77777777" w:rsidR="00B60A59" w:rsidRDefault="00000000">
      <w:r>
        <w:t>How the matter was addressed in our audit We obtained an understanding of the Bank's internal control and tested the design and operating effectiveness of the manual and automated key controls relating to the assessment of credit risk and the measurement of expected credit losses.</w:t>
      </w:r>
    </w:p>
    <w:p w14:paraId="256E2656" w14:textId="78BE0E71" w:rsidR="00B60A59" w:rsidRDefault="00000000">
      <w:r>
        <w:t xml:space="preserve">This included assessing the appropriateness of model design and formulas used, considering alternative modelling techniques and recalculating the Probability of Default, Loss Given Default and Exposure at Default for a sample of models, as well as challenging the forward looking macro-economic scenarios We performed an overall assessment of the ECL provision levels by stage to determine if they were reasonable considering the Bank's portfolio, risk profile, credit risk management practices and the macroeconomic environment 141 </w:t>
      </w:r>
      <w:r w:rsidR="00207A1B">
        <w:t>w</w:t>
      </w:r>
      <w:r>
        <w:t>e performed substantive audit procedures on a sample of defaulted loans and advances to customer, consisting of key items.</w:t>
      </w:r>
    </w:p>
    <w:p w14:paraId="0DC18457" w14:textId="77777777" w:rsidR="00B60A59" w:rsidRDefault="00000000">
      <w:r>
        <w:t>Responsibilities of the reviseur d'entreprises agree for the audit of the financial statements 143 The objectives of our audit are to obtain reasonable assurance about whether the financial statements as a whole are free from material misstatement, whether due to fraud or error, and to issue a report of the reviseur d'entreprises agree that includes our opinion.</w:t>
      </w:r>
    </w:p>
    <w:p w14:paraId="53FEC1F0" w14:textId="0EFF4424" w:rsidR="00B60A59" w:rsidRDefault="00000000">
      <w:r>
        <w:t>As part of an audit in accordance with EU Regulation N</w:t>
      </w:r>
      <w:r w:rsidR="00F04637">
        <w:t xml:space="preserve"> </w:t>
      </w:r>
      <w:r>
        <w:t>537201 4, the Law of 23 July 2016 and with ISAs as adopted for Luxembourg by the CSSF, we exercise professional judgment and maintain professional skepticism throughout the audit.</w:t>
      </w:r>
    </w:p>
    <w:p w14:paraId="6F630733" w14:textId="77777777" w:rsidR="00B60A59" w:rsidRDefault="00000000">
      <w:r>
        <w:t>In preparing the financial statements under IFRS, the Board of Directors is required to make estimates and assumptions that affect reported income, expenses, assets, liabilities and disclosure of contingent assets and liabilities.</w:t>
      </w:r>
    </w:p>
    <w:p w14:paraId="451828C3" w14:textId="77777777" w:rsidR="00B60A59" w:rsidRDefault="00000000">
      <w:r>
        <w:t>Both components are in the scope of ALMIRRBB risk management framework.</w:t>
      </w:r>
    </w:p>
    <w:p w14:paraId="4AE096A2" w14:textId="77777777" w:rsidR="00B60A59" w:rsidRDefault="00000000">
      <w:r>
        <w:t>When they have a Group dimension, it must ensure their implementation within the limits of the governance constraints in place.</w:t>
      </w:r>
    </w:p>
    <w:p w14:paraId="7D581F64" w14:textId="77777777" w:rsidR="00B60A59" w:rsidRDefault="00000000">
      <w:r>
        <w:lastRenderedPageBreak/>
        <w:t>The ALM objectives, governance and constraints credit risk, liquidity, among others.</w:t>
      </w:r>
    </w:p>
    <w:p w14:paraId="38B9460D" w14:textId="77777777" w:rsidR="00B60A59" w:rsidRDefault="00000000">
      <w:r>
        <w:t>Measurement and monitoring of ALM risks In 2023, the refresh of the Risk Appetite Statement Framework has set up a new risk dashboard structure and limits.</w:t>
      </w:r>
    </w:p>
    <w:p w14:paraId="36C12AD4" w14:textId="77777777" w:rsidR="00B60A59" w:rsidRDefault="00000000">
      <w:r>
        <w:t>Regarding market risks in the banking book, the following KRIs are implemented, 207 The Economic Value of Equity regulatory shocks, worst case impact amount to 5.</w:t>
      </w:r>
    </w:p>
    <w:p w14:paraId="2B94D325" w14:textId="77777777" w:rsidR="00B60A59" w:rsidRDefault="00000000">
      <w:r>
        <w:t>Climate-related and environmental risks Climate-related and environmental risk or C&amp;E risk hereafter is defined as the risk of economic costs and financial losses arising from climate change, the efforts to mitigate climate change, environmental degradation or the loss of ecosystem services.</w:t>
      </w:r>
    </w:p>
    <w:p w14:paraId="0774FAE7" w14:textId="77777777" w:rsidR="00B60A59" w:rsidRDefault="00000000">
      <w:r>
        <w:t>In addition to the responsibilities vis-à-vis our staff and clients, the following goals in relation to climate change were set, Reducing absolute Scope 1, 2 and operational Scope 3 GHG emissions by 50% by 2032 and as close as possible to 100% by 2050, from a 2022 base year 215 Reducing carbon intensity emissions for our financed Scope 3 emissions by 20% between 2024 and 2030 compared to 2023 base year for DPM in-scope products and services are flagship discretionary funds and any other new sustainable solutions.</w:t>
      </w:r>
    </w:p>
    <w:p w14:paraId="2DCA15D5" w14:textId="77777777" w:rsidR="00B60A59" w:rsidRDefault="00000000">
      <w:r>
        <w:t>The 3rd LoD Internal Audit reviews the C&amp;E risk management arrangements based on its risk assessment and multi-year audit plan.</w:t>
      </w:r>
    </w:p>
    <w:sectPr w:rsidR="00B60A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814255892">
    <w:abstractNumId w:val="8"/>
  </w:num>
  <w:num w:numId="2" w16cid:durableId="1421171468">
    <w:abstractNumId w:val="6"/>
  </w:num>
  <w:num w:numId="3" w16cid:durableId="107507669">
    <w:abstractNumId w:val="5"/>
  </w:num>
  <w:num w:numId="4" w16cid:durableId="1781797385">
    <w:abstractNumId w:val="4"/>
  </w:num>
  <w:num w:numId="5" w16cid:durableId="1673488167">
    <w:abstractNumId w:val="7"/>
  </w:num>
  <w:num w:numId="6" w16cid:durableId="269318047">
    <w:abstractNumId w:val="3"/>
  </w:num>
  <w:num w:numId="7" w16cid:durableId="405886387">
    <w:abstractNumId w:val="2"/>
  </w:num>
  <w:num w:numId="8" w16cid:durableId="356199913">
    <w:abstractNumId w:val="1"/>
  </w:num>
  <w:num w:numId="9" w16cid:durableId="1151167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A1B"/>
    <w:rsid w:val="0029639D"/>
    <w:rsid w:val="00326F90"/>
    <w:rsid w:val="00672963"/>
    <w:rsid w:val="00AA1D8D"/>
    <w:rsid w:val="00B47730"/>
    <w:rsid w:val="00B60A59"/>
    <w:rsid w:val="00CB0664"/>
    <w:rsid w:val="00E10E48"/>
    <w:rsid w:val="00F04637"/>
    <w:rsid w:val="00F340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09171"/>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1841</Words>
  <Characters>10500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2025-08-02T16:46:00Z</dcterms:modified>
  <cp:category/>
</cp:coreProperties>
</file>