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5626" w14:textId="77777777" w:rsidR="00CD7C36" w:rsidRDefault="00000000">
      <w:r>
        <w:t>This platform has allowed MeDirect not only to operate with contained and stable technology costs since 2020 but also to fuel agile product innovation, process efficiency improvement and robust control and risk management systems.</w:t>
      </w:r>
    </w:p>
    <w:p w14:paraId="69D9DB40" w14:textId="77777777" w:rsidR="00CD7C36" w:rsidRDefault="00000000">
      <w:r>
        <w:t>During 2023, MeDirect increased its offering of green funds and green bonds, more than doubled the number of eco-friendly mortgage loans since 2022 and initiated a project to reduce its carbon footprint by 5% between 2022 and 2026 and to become carbon neutral by 2032.</w:t>
      </w:r>
    </w:p>
    <w:p w14:paraId="65BD1238" w14:textId="77777777" w:rsidR="00CD7C36" w:rsidRDefault="00000000">
      <w:r>
        <w:t>Notwithstanding the scalability of the platform, careful consideration was given to balancing the speed of growth with selective investments, prudent risk management and organic capital creation goals, in an environment that remains extremely volatile.</w:t>
      </w:r>
    </w:p>
    <w:p w14:paraId="2170E4BC" w14:textId="77777777" w:rsidR="00CD7C36" w:rsidRDefault="00000000">
      <w:r>
        <w:t>MeDirect focuses particularly on quantitative KPIs that are actively monitored on a regular basis through dashboards and monthly management reports.</w:t>
      </w:r>
    </w:p>
    <w:p w14:paraId="0303B37A" w14:textId="77777777" w:rsidR="00CD7C36" w:rsidRDefault="00000000">
      <w:r>
        <w:t>The Board has determined that the Group should conserve its capital to maximise its ability to support its customers, to continue to strengthen its balance sheet and to invest selectively in its Wealth platform.</w:t>
      </w:r>
    </w:p>
    <w:p w14:paraId="4009051F" w14:textId="77777777" w:rsidR="00CD7C36" w:rsidRDefault="00000000">
      <w:r>
        <w:t>Enhancing risk governance MeDirect understands the importance of adopting sound risk management principles.</w:t>
      </w:r>
    </w:p>
    <w:p w14:paraId="351639C7" w14:textId="77777777" w:rsidR="00CD7C36" w:rsidRDefault="00000000">
      <w:r>
        <w:t>MeDirect’s risk management approach focuses on ensuring continued financial soundness and safeguarding the interests of its stakeholders while retaining the ability to pursue value-creating business opportunities in a fast-changing environment.</w:t>
      </w:r>
    </w:p>
    <w:p w14:paraId="30B344A9" w14:textId="77777777" w:rsidR="00CD7C36" w:rsidRDefault="00000000">
      <w:r>
        <w:t>This is achieved through high standards of corporate governance and sound risk management principles.</w:t>
      </w:r>
    </w:p>
    <w:p w14:paraId="685DD82A" w14:textId="77777777" w:rsidR="00CD7C36" w:rsidRDefault="00000000">
      <w:r>
        <w:t>MeDirect has designed its risk management framework to support and enable its transformation strategy.</w:t>
      </w:r>
    </w:p>
    <w:p w14:paraId="733ABC1D" w14:textId="77777777" w:rsidR="00CD7C36" w:rsidRDefault="00000000">
      <w:r>
        <w:t>Risk appetite limits established by the Board set forth the amount and types of risk that MeDirect is prepared to accept or tolerate when delivering its strategy.</w:t>
      </w:r>
    </w:p>
    <w:p w14:paraId="2F4FA437" w14:textId="77777777" w:rsidR="00CD7C36" w:rsidRDefault="00000000">
      <w:r>
        <w:t>Stress testing is an important part of the Group’s risk management framework and addresses a range of idiosyncratic and market-wide scenarios.</w:t>
      </w:r>
    </w:p>
    <w:p w14:paraId="1D5B993D" w14:textId="77777777" w:rsidR="00CD7C36" w:rsidRDefault="00000000">
      <w:r>
        <w:t>MeDirect is also responsible for designing, implementing and maintaining internal controls designed to en­ able the preparation of financial statements that are free from material misstatement, whether due to fraud or er­ ror, and that comply with the Maltese Companies Act Cap.</w:t>
      </w:r>
    </w:p>
    <w:p w14:paraId="5E128908" w14:textId="77777777" w:rsidR="00CD7C36" w:rsidRDefault="00000000">
      <w:r>
        <w:t>MeDirect is responsible for the maintenance and integrity of the Annual Report on the website in view of its responsibility for the controls over and the security of its website.</w:t>
      </w:r>
    </w:p>
    <w:p w14:paraId="081FE9E0" w14:textId="77777777" w:rsidR="00CD7C36" w:rsidRDefault="00000000">
      <w:r>
        <w:lastRenderedPageBreak/>
        <w:t>Client financial assets = deposits + assets under custody assets held under nominee basis Positive business developments New business initiatives that will contribute to further growth » Launch of physical and virtual cards in Malta » Online Discretionary Portfolio Management in partnership with Blackrock in Belgium » Entry into the Dutch retail wealth market Capital and liquidity ratios well above minimum legal requirements 20.</w:t>
      </w:r>
    </w:p>
    <w:p w14:paraId="4B5BF46A" w14:textId="77777777" w:rsidR="00CD7C36" w:rsidRDefault="00000000">
      <w:r>
        <w:t>The role of these teams include, the development of software and applications to improve customer experience.</w:t>
      </w:r>
    </w:p>
    <w:p w14:paraId="21BC6FA2" w14:textId="77777777" w:rsidR="00CD7C36" w:rsidRDefault="00000000">
      <w:r>
        <w:t>However, the Directors strongly believe that such practices are in the best interests of MeDirect Malta, its shareholders and other stakeholders, primarily because compliance with principles of good corporate governance is expected by investors on the Malta Stock Exchange and evidences the Directors’ and the Group’s commitment to a high standard of corporate governance.</w:t>
      </w:r>
    </w:p>
    <w:p w14:paraId="55136D9F" w14:textId="77777777" w:rsidR="00CD7C36" w:rsidRDefault="00000000">
      <w:r>
        <w:t>It is in the light of these factors that the Directors are herein reporting on the corporate governance of MeDirect Malta.</w:t>
      </w:r>
    </w:p>
    <w:p w14:paraId="65614972" w14:textId="77777777" w:rsidR="00CD7C36" w:rsidRDefault="00000000">
      <w:r>
        <w:t>Overall risk strategy, including the risk appetite and risk management framework.</w:t>
      </w:r>
    </w:p>
    <w:p w14:paraId="604B8EB3" w14:textId="77777777" w:rsidR="00CD7C36" w:rsidRDefault="00000000">
      <w:r>
        <w:t>Arrangements at ensuring the integrity of the accounting and financial reporting systems, including financial and operational controls designed to ensure compliance with law and regulation as well as relevant standards.</w:t>
      </w:r>
    </w:p>
    <w:p w14:paraId="4DAE65A2" w14:textId="77777777" w:rsidR="00CD7C36" w:rsidRDefault="00000000">
      <w:r>
        <w:t>The Board is also responsible for setting a framework of values and a code of conduct in which the stated corporate and risk culture can evolve and thrive.</w:t>
      </w:r>
    </w:p>
    <w:p w14:paraId="367DD450" w14:textId="77777777" w:rsidR="00CD7C36" w:rsidRDefault="00000000">
      <w:r>
        <w:t>The Board has oversight of the following, The process of public disclosures and communications with external stakeholders and competent authorities.</w:t>
      </w:r>
    </w:p>
    <w:p w14:paraId="1446E073" w14:textId="77777777" w:rsidR="00CD7C36" w:rsidRDefault="00000000">
      <w:r>
        <w:t>The Board monitors, periodically reviews and addresses any weaknesses identified regarding the implementation of processes, strategies and policies related to any of their approval and oversight responsibilities.</w:t>
      </w:r>
    </w:p>
    <w:p w14:paraId="7E1D5804" w14:textId="77777777" w:rsidR="00CD7C36" w:rsidRDefault="00000000">
      <w:r>
        <w:t>John Zarb retired from his role as partner at PricewaterhouseCoop­ ers at the end of 2014 after a career spanning over 40 years in the audit and advisory practices of the firm.</w:t>
      </w:r>
    </w:p>
    <w:p w14:paraId="46C69327" w14:textId="77777777" w:rsidR="00CD7C36" w:rsidRDefault="00000000">
      <w:r>
        <w:t>Amongst the primary responsibilities of the Board Risk and Compliance Committee are, to ensure that the Group’s risk strategy and Risk Appetite Framework including its Risk Appetite Statement and associated thresholds for escalation and related controls are comprehensive and consistent with the Group’s business strategy, objectives, corporate culture and values.</w:t>
      </w:r>
    </w:p>
    <w:p w14:paraId="4B082931" w14:textId="77777777" w:rsidR="00CD7C36" w:rsidRDefault="00000000">
      <w:r>
        <w:t>It draws on a wide range of experience to ensure that the strategic objectives of the Group are delivered in accordance with the Group’s strategic business plans, as approved by the Boards of Directors of the Group and MeDirect Belgium.</w:t>
      </w:r>
    </w:p>
    <w:p w14:paraId="13211778" w14:textId="77777777" w:rsidR="00CD7C36" w:rsidRDefault="00000000">
      <w:r>
        <w:lastRenderedPageBreak/>
        <w:t>It focuses on MeDirect Malta’s growth strategies and new initiatives and monitors the ability to respond to new regulatory developments.</w:t>
      </w:r>
    </w:p>
    <w:p w14:paraId="778E01D3" w14:textId="77777777" w:rsidR="00CD7C36" w:rsidRDefault="00000000">
      <w:r>
        <w:t>It meets on a monthly basis and is responsible for the formulation and implementation of Board-approved strategies and plans and for ensuring that the business is operated in accordance with such strategies and plans.</w:t>
      </w:r>
    </w:p>
    <w:p w14:paraId="1DE8F470" w14:textId="77777777" w:rsidR="00CD7C36" w:rsidRDefault="00000000">
      <w:r>
        <w:t>Its purpose is to provide executive risk management oversight and steering in the Group and its subsidiaries.</w:t>
      </w:r>
    </w:p>
    <w:p w14:paraId="0CF63F0A" w14:textId="77777777" w:rsidR="00CD7C36" w:rsidRDefault="00000000">
      <w:r>
        <w:t>Monitor and oversee compliance with risk appetite limits and risk strategy and advise on and escalate to the Board Risk and Compliance Committee risk appetite and risk tolerance-related matters were necessary.</w:t>
      </w:r>
    </w:p>
    <w:p w14:paraId="5DDD07A5" w14:textId="77777777" w:rsidR="00CD7C36" w:rsidRDefault="00000000">
      <w:r>
        <w:t>Steer the development and implementation of risk frameworks, projects and strategic initiatives.</w:t>
      </w:r>
    </w:p>
    <w:p w14:paraId="037B3ACF" w14:textId="77777777" w:rsidR="00CD7C36" w:rsidRDefault="00000000">
      <w:r>
        <w:t>Governance of the arrangements related to budget spending on change initiatives, business continuity and disaster recovery and data retention and archiving.</w:t>
      </w:r>
    </w:p>
    <w:p w14:paraId="298BBFF6" w14:textId="77777777" w:rsidR="00CD7C36" w:rsidRDefault="00000000">
      <w:r>
        <w:t>The CCAC operates within the authority delegated from the Board Risk and Compliance Committee and is comprised of representatives of key units within the Group.</w:t>
      </w:r>
    </w:p>
    <w:p w14:paraId="71501303" w14:textId="77777777" w:rsidR="00CD7C36" w:rsidRDefault="00000000">
      <w:r>
        <w:t>As part of succession planning and talent management, MeDirect Malta’s and MeDirect Belgium’s Boards and the CEO ensure that MeDirect implements appropriate schemes to recruit, retain and motivate high quality executive officers.</w:t>
      </w:r>
    </w:p>
    <w:p w14:paraId="27F64158" w14:textId="77777777" w:rsidR="00CD7C36" w:rsidRDefault="00000000">
      <w:r>
        <w:t>They also encourage members of management to move to higher ranks, seek to maintain high morale amongst Me­ Direct’s Malta’s personnel and identify high performing employees with the potential to take on more responsibilities.</w:t>
      </w:r>
    </w:p>
    <w:p w14:paraId="2D358BFC" w14:textId="77777777" w:rsidR="00CD7C36" w:rsidRDefault="00000000">
      <w:r>
        <w:t>Principle 6, Information and professional development In addition to the responsibilities of MeDirect Malta’s and Belgium’s Boards described above, these boards actively participate in the appointment of senior management.</w:t>
      </w:r>
    </w:p>
    <w:p w14:paraId="7A48132B" w14:textId="77777777" w:rsidR="00CD7C36" w:rsidRDefault="00000000">
      <w:r>
        <w:t>MeDirect Malta and MeDirect Belgium Directors are given opportunities to update and develop their skills and knowl­ edge, through briefings by senior executives and externally run seminars throughout their terms as Directors.</w:t>
      </w:r>
    </w:p>
    <w:p w14:paraId="3A14438B" w14:textId="77777777" w:rsidR="00CD7C36" w:rsidRDefault="00000000">
      <w:r>
        <w:t>During the year under review, MeDirect Malta issued various company an­ nouncements and media releases to explain ongoing corporate developments, material events and transactions which took place and their impact on MeDirect Malta’s financial position.</w:t>
      </w:r>
    </w:p>
    <w:p w14:paraId="36700D21" w14:textId="77777777" w:rsidR="00CD7C36" w:rsidRDefault="00000000">
      <w:r>
        <w:t>Improving standards and personal development also provided the motivation for MeDirect’s support to the Malta Association of Gastroenterology Nurses and Associates.</w:t>
      </w:r>
    </w:p>
    <w:p w14:paraId="03B47878" w14:textId="77777777" w:rsidR="00CD7C36" w:rsidRDefault="00000000">
      <w:r>
        <w:t>The financial year also saw MeDirect Malta and its employees provide support to numerous charities, through financial donations, the provision of equipment and staff volunteering.</w:t>
      </w:r>
    </w:p>
    <w:p w14:paraId="3D7E4007" w14:textId="77777777" w:rsidR="00CD7C36" w:rsidRDefault="00000000">
      <w:r>
        <w:lastRenderedPageBreak/>
        <w:t>Animal charities such as the MSPCA also received assistance from MeDirect Malta, not only through financial dona­ tions but also the delivery of food and the practical support of employees in activities such as dog walking.</w:t>
      </w:r>
    </w:p>
    <w:p w14:paraId="2F6B1B5E" w14:textId="77777777" w:rsidR="00CD7C36" w:rsidRDefault="00000000">
      <w:r>
        <w:t>The management of MeDirect is responsible for instituting and preserving sufficient internal control over financial re­ porting.</w:t>
      </w:r>
    </w:p>
    <w:p w14:paraId="3B05C249" w14:textId="77777777" w:rsidR="00CD7C36" w:rsidRDefault="00000000">
      <w:r>
        <w:t>Internal control over financial reporting includes policies and procedures that pertain to, maintaining records that, in reasonable detail, accurately and fairly reflect transactions and dispositions of assets.</w:t>
      </w:r>
    </w:p>
    <w:p w14:paraId="66FB3BE4" w14:textId="77777777" w:rsidR="00CD7C36" w:rsidRDefault="00000000">
      <w:r>
        <w:t>The NRCs are charged with aligning the Group’s remuneration policy, approved by the Group board of Directors, and in particular performance-related elements of remuneration, with the Group’s business strategy and risk tolerance, objec­ tives, values and long-term interests.</w:t>
      </w:r>
    </w:p>
    <w:p w14:paraId="4F357DB5" w14:textId="77777777" w:rsidR="00CD7C36" w:rsidRDefault="00000000">
      <w:r>
        <w:t>One of the NRCs primary functions is to ensure that the Group is able to attract and retain suitable employees at all levels at an acceptable cost.</w:t>
      </w:r>
    </w:p>
    <w:p w14:paraId="52246776" w14:textId="77777777" w:rsidR="00CD7C36" w:rsidRDefault="00000000">
      <w:r>
        <w:t>On an annual basis, the NRCs review the budgets allocated to the fixed salary increases for the forthcoming year and the variable remuneration pools for the previous financial year and review the individual remuner­ ation of senior management and staff members who are employed in control functions such as Risk and Compliance, as well as that of staff with total remuneration above a threshold fixed by the relative NRC.</w:t>
      </w:r>
    </w:p>
    <w:p w14:paraId="59A20A7C" w14:textId="77777777" w:rsidR="00CD7C36" w:rsidRDefault="00000000">
      <w:r>
        <w:t>The policy is also reviewed on an annual basis by the Internal Audit function to ensure that it is in compliance with all applicable legal and regulatory requirements.</w:t>
      </w:r>
    </w:p>
    <w:p w14:paraId="3879111D" w14:textId="77777777" w:rsidR="00CD7C36" w:rsidRDefault="00000000">
      <w:r>
        <w:t>The purpose of the Remuneration Policy is to set out the overall principles that the MeDirect Malta and MeDirect Belgium, whether direct or indirect, must follow when determining the remuneration and compensation of its manage­ ment and staff members.</w:t>
      </w:r>
    </w:p>
    <w:p w14:paraId="179245C0" w14:textId="77777777" w:rsidR="00CD7C36" w:rsidRDefault="00000000">
      <w:r>
        <w:t>The Boards, directly and through the NRCs, carry out effective monitoring and evaluation of adherence to the remu­ neration policy and of the Group’s remuneration system on an ongoing basis.</w:t>
      </w:r>
    </w:p>
    <w:p w14:paraId="618AA3C6" w14:textId="77777777" w:rsidR="00CD7C36" w:rsidRDefault="00000000">
      <w:r>
        <w:t>The NRCs and the Boards monitor the ongoing performance by Executive Directors and senior management and determine the design and implementation of an effective remuneration system.</w:t>
      </w:r>
    </w:p>
    <w:p w14:paraId="1EB9D8A5" w14:textId="77777777" w:rsidR="00CD7C36" w:rsidRDefault="00000000">
      <w:r>
        <w:t>They also ensure that the remuneration policies and practices are consistent with a prudent, forward-looking approach, aimed at maintaining a sound capital base, and that all awards of variable remu­ neration to Material Risk Takers are subject to malus and clawback arrangements and are otherwise consistent with the Remuneration Policy.</w:t>
      </w:r>
    </w:p>
    <w:p w14:paraId="5AB8F321" w14:textId="77777777" w:rsidR="00CD7C36" w:rsidRDefault="00000000">
      <w:r>
        <w:lastRenderedPageBreak/>
        <w:t>Compliance with the Group’s rules and requirements and involvement on a continuous basis in risk management, are taken into account when determining performance-based remuneration for all employees.</w:t>
      </w:r>
    </w:p>
    <w:p w14:paraId="045413E1" w14:textId="77777777" w:rsidR="00CD7C36" w:rsidRDefault="00000000">
      <w:r>
        <w:t>Other non-financial factors are considered such as skills acquired, personal development, commitment to the Group’s business strategies and policies and contribution to the performance of the team.</w:t>
      </w:r>
    </w:p>
    <w:p w14:paraId="288B5EE1" w14:textId="77777777" w:rsidR="00CD7C36" w:rsidRDefault="00000000">
      <w:r>
        <w:t>The Group Risk team provides advice in respect of the definition of suitable risk-adjusted performance measures, as well as in assessing how the variable remuneration structure affects the risk profile and culture of the Group.</w:t>
      </w:r>
    </w:p>
    <w:p w14:paraId="05C3A3CD" w14:textId="77777777" w:rsidR="00CD7C36" w:rsidRDefault="00000000">
      <w:r>
        <w:t>The Risk team provides input into the process for determining bonus pools and the allocations of variable remuneration awards to ensure that all relevant factors are considered by the relevant decision-making body.</w:t>
      </w:r>
    </w:p>
    <w:p w14:paraId="3D6F9C94" w14:textId="77777777" w:rsidR="00CD7C36" w:rsidRDefault="00000000">
      <w:r>
        <w:t>In parallel to reporting on the latter as­ surance activities the Internal Audit function also informs the NRC of any specific facts, events or observations, pointing at knowingly negligent or unacceptable behaviour of key staff and management members, to be considered during the review of remuneration levels and approval of performance-related and other variable bonus awards.</w:t>
      </w:r>
    </w:p>
    <w:p w14:paraId="7DD6C0F0" w14:textId="77777777" w:rsidR="00CD7C36" w:rsidRDefault="00000000">
      <w:r>
        <w:t>It is possible for the Group to apply malus and clawback provisions to variable remuneration such as performance re­ lated bonuses or other variable bonuses if the respective employees were responsible for circumstances that resulted in significant losses to the Group or in situations where the most appropriate standards of fitness and propriety were not met during the period for which the performance or retention bonus was awarded.</w:t>
      </w:r>
    </w:p>
    <w:p w14:paraId="32B4BBF6" w14:textId="77777777" w:rsidR="00CD7C36" w:rsidRDefault="00000000">
      <w:r>
        <w:t>Conflicts of interests with regard to the implementation of this Remuneration Policy and the award of remuneration in accordance with the provisions of this policy are identified and appropriately mitigated.</w:t>
      </w:r>
    </w:p>
    <w:p w14:paraId="5A9BA11C" w14:textId="77777777" w:rsidR="00CD7C36" w:rsidRDefault="00000000">
      <w:r>
        <w:t>In 2022 the Group revised the remuneration policy to reflect the ESMA guidance on MIFID II, whereas in 2023 it was reviewed together with the Deferred Bonus plan but there were no material changes.</w:t>
      </w:r>
    </w:p>
    <w:p w14:paraId="1F8099B9" w14:textId="1915104F" w:rsidR="00CD7C36" w:rsidRDefault="00000000">
      <w:r>
        <w:t>In accordance with Article 92, of directive 2013/36/EU “CRD”, variable remuneration is not paid through vehicles or methods that facilitate the non-compliance with this Directive or Regulation No 575/2013.</w:t>
      </w:r>
    </w:p>
    <w:p w14:paraId="23960CED" w14:textId="77777777" w:rsidR="00CD7C36" w:rsidRDefault="00000000">
      <w:r>
        <w:t>Performance bonuses represent additional remuneration payable to employees as a reward for achieving specific goals or hitting predetermined targets, but such variable remuneration is discretionary as the Group does not set an expec­ tation to its employees that a bonus will be paid if certain goals are met and the amount of the bonuses are not deter­ mined in advance.</w:t>
      </w:r>
    </w:p>
    <w:p w14:paraId="4E7A94D9" w14:textId="77777777" w:rsidR="00CD7C36" w:rsidRDefault="00000000">
      <w:r>
        <w:lastRenderedPageBreak/>
        <w:t>This is targeted to ensure best performance, by securing the retention of critical employees who are key to success of the realisation of the strategic plan of the Group.</w:t>
      </w:r>
    </w:p>
    <w:p w14:paraId="4FAD1DE0" w14:textId="77777777" w:rsidR="00CD7C36" w:rsidRDefault="00000000">
      <w:r>
        <w:t>Any consideration given to granting retention bonuses, guaranteed remuneration and/or severance payments is made in light of the applicable regulatory requirements in order to ensure that such remuneration is only awarded where to Annual Report and Financial Statements 2023 37 do so is compliant with the applicable regulatory requirements and any such remuneration is awarded in such form as is determined by the NRCs, taking account of applicable regulatory requirements including in respect of deferral, payment in the form of a share-linked instruments and the application of malus and clawback.</w:t>
      </w:r>
    </w:p>
    <w:p w14:paraId="3F5FFA6F" w14:textId="77777777" w:rsidR="00CD7C36" w:rsidRDefault="00000000">
      <w:r>
        <w:t>In determining the variable remuneration pool, the Group applies a prudent, forward-looking approach, consistent with maintaining a sound capital base.</w:t>
      </w:r>
    </w:p>
    <w:p w14:paraId="601748EB" w14:textId="77777777" w:rsidR="00CD7C36" w:rsidRDefault="00000000">
      <w:r>
        <w:t>The performance bonus variable remuneration pool is set and is calculated on the basis of the following qualitative and quantitative factors, Financial results of the Group, the relevant subsidiary and/or the relevant business line after taking into account the cost of risk, capital and liquidity, with the aim of ensuring that the total amount of variable remuneration does not undermine the Group’s or the subsidiary’s capacity to meet its objectives in terms of capital require­ ments.</w:t>
      </w:r>
    </w:p>
    <w:p w14:paraId="78553BFB" w14:textId="77777777" w:rsidR="00CD7C36" w:rsidRDefault="00000000">
      <w:r>
        <w:t>The allocations of individual variable remuner­ ation awards are correlated to the staff member’s formalised annual individual appraisal, that takes into consideration quantitative and qualitative objectives known to the employee, as well as risk management considerations.</w:t>
      </w:r>
    </w:p>
    <w:p w14:paraId="78EAF980" w14:textId="77777777" w:rsidR="00CD7C36" w:rsidRDefault="00000000">
      <w:r>
        <w:t>For example, portfolio managers are judged on factors such as risk management, overall continuing performance of the portfolio, contribution to development of the Group’s systems, while members of the Treasury team are assessed on effectiveness in managing liquidity as well as interest rate risk.</w:t>
      </w:r>
    </w:p>
    <w:p w14:paraId="6972A44D" w14:textId="77777777" w:rsidR="00CD7C36" w:rsidRDefault="00000000">
      <w:r>
        <w:t>Objectives may be technical related to area of expertise and day-to-day role or behavioural related to a desired change in personal development.</w:t>
      </w:r>
    </w:p>
    <w:p w14:paraId="6E16011A" w14:textId="77777777" w:rsidR="00CD7C36" w:rsidRDefault="00000000">
      <w:r>
        <w:t>The amount payable to any individual under the annual variable remuneration plan is based on the following, The Group’s financial performance in particular the profit before tax, the cost to income ratio and maintenance of all regulatory ratios across the Group within established risk appetite levels.</w:t>
      </w:r>
    </w:p>
    <w:p w14:paraId="5D352832" w14:textId="77777777" w:rsidR="00CD7C36" w:rsidRDefault="00000000">
      <w:r>
        <w:t>Furthermore, depending on the performance of the employ­ ee and the financial performance of the Group, variable remuneration can also be reduced to zero.</w:t>
      </w:r>
    </w:p>
    <w:p w14:paraId="5B53F9A1" w14:textId="77777777" w:rsidR="00CD7C36" w:rsidRDefault="00000000">
      <w:r>
        <w:t>Thus, control functions are judged on success in developing and implementing appropriate Annual Report and Financial Statements 2023 39 policies, developing effective risk management controls and procedures, monitoring risk and building control systems.</w:t>
      </w:r>
    </w:p>
    <w:p w14:paraId="3F9C6BCE" w14:textId="77777777" w:rsidR="00CD7C36" w:rsidRDefault="00000000">
      <w:r>
        <w:lastRenderedPageBreak/>
        <w:t>The Group’s remuneration practices shall ensure that no material conflict of interest arise in respect or remuneration for staff in the Group’s control functions.</w:t>
      </w:r>
    </w:p>
    <w:p w14:paraId="6EE0A143" w14:textId="77777777" w:rsidR="00CD7C36" w:rsidRDefault="00000000">
      <w:r>
        <w:t>The criteria used for assess­ ing performance and risk is based exclusively on internal control objectives.</w:t>
      </w:r>
    </w:p>
    <w:p w14:paraId="3A9788F7" w14:textId="77777777" w:rsidR="00CD7C36" w:rsidRDefault="00000000">
      <w:r>
        <w:t>Malus may be applied at the discretion of the relevant NRC, and examples of the circumstances in which such dis­ cretion to impose malus may be exercised are included in the Group’s Remuneration Policy.</w:t>
      </w:r>
    </w:p>
    <w:p w14:paraId="626E4EB5" w14:textId="77777777" w:rsidR="00CD7C36" w:rsidRDefault="00000000">
      <w:r>
        <w:t>Typically, an internal risk grade is assigned to each obligor by the business which is then reviewed by both the Credit Risk Team, and the Management Credit Committee responsible for the oversight of the Group’s respective portfolios.</w:t>
      </w:r>
    </w:p>
    <w:p w14:paraId="3CCE73EF" w14:textId="77777777" w:rsidR="00CD7C36" w:rsidRDefault="00000000">
      <w:r>
        <w:t>Focus No immediate prospect that a credit loss will ultimately be suffered, but worthy of closer credit oversight.</w:t>
      </w:r>
    </w:p>
    <w:p w14:paraId="57426D2B" w14:textId="77777777" w:rsidR="00CD7C36" w:rsidRDefault="00000000">
      <w:r>
        <w:t>Focus No immediate prospect that a credit loss will ultimately be suffered, but worthy of closer credit oversight.</w:t>
      </w:r>
    </w:p>
    <w:p w14:paraId="2A62E031" w14:textId="77777777" w:rsidR="00CD7C36" w:rsidRDefault="00000000">
      <w:r>
        <w:t>As a result, the Group aligned the IFRS 9 definition of default, used for accounting purposes, to the definitions provided in the EBA and BCBS guidelines, thereby ensuring that a single consistent view of credit risk is applied for internal risk management, regulatory capital and the measurement of ECLs.</w:t>
      </w:r>
    </w:p>
    <w:p w14:paraId="2E3F7BE9" w14:textId="77777777" w:rsidR="00CD7C36" w:rsidRDefault="00000000">
      <w:r>
        <w:t>This is subject to regulatory materiality thresholds defined in the Group Credit Risk policy.</w:t>
      </w:r>
    </w:p>
    <w:p w14:paraId="05DC065A" w14:textId="77777777" w:rsidR="00CD7C36" w:rsidRDefault="00000000">
      <w:r>
        <w:t xml:space="preserve">On initial </w:t>
      </w:r>
      <w:proofErr w:type="spellStart"/>
      <w:r>
        <w:t>desig</w:t>
      </w:r>
      <w:proofErr w:type="spellEnd"/>
      <w:r>
        <w:t>­ nation of the hedge, the Group formally documents the relationship between the hedging instrument/s and hedged item/s, including the risk management objective and strategy in undertaking the hedge, together with the method Annual Report and Financial Statements 2023 75 that will be used to assess the effectiveness of the hedging relationship.</w:t>
      </w:r>
    </w:p>
    <w:p w14:paraId="64EC5900" w14:textId="77777777" w:rsidR="00CD7C36" w:rsidRDefault="00000000">
      <w:r>
        <w:t>These risks principally relate to the Group’s banking activities and are managed by MeDirect Malta’s Board of Directors.</w:t>
      </w:r>
    </w:p>
    <w:p w14:paraId="5A1F3894" w14:textId="77777777" w:rsidR="00CD7C36" w:rsidRDefault="00000000">
      <w:r>
        <w:t>The Group’s objective is to deploy an integrated risk management approach that ensures an awareness of, and ac­ countability for, the risks taken throughout the Group and also to develop the tools needed to address those risks.</w:t>
      </w:r>
    </w:p>
    <w:p w14:paraId="7ACA6EF6" w14:textId="77777777" w:rsidR="00CD7C36" w:rsidRDefault="00000000">
      <w:r>
        <w:t>Strong risk management and internal controls are core elements of the Group’s strategy.</w:t>
      </w:r>
    </w:p>
    <w:p w14:paraId="430FD478" w14:textId="77777777" w:rsidR="00CD7C36" w:rsidRDefault="00000000">
      <w:r>
        <w:t>Compliance &amp; Legal* 3rd line of Defence Internal Audit Annual Report and Financial Statements 2023 81 Each of these three “lines” play a distinct role within the Group’s wider governance framework.</w:t>
      </w:r>
    </w:p>
    <w:p w14:paraId="5156D83C" w14:textId="77777777" w:rsidR="00CD7C36" w:rsidRDefault="00000000">
      <w:r>
        <w:t>Limits on counterparty exposures are established by the Group’s Management Risk Committee “MRC” in line with the Credit Framework.</w:t>
      </w:r>
    </w:p>
    <w:p w14:paraId="0BB24B12" w14:textId="77777777" w:rsidR="00CD7C36" w:rsidRDefault="00000000">
      <w:r>
        <w:lastRenderedPageBreak/>
        <w:t>Additionally, the portfolio is subject to a continual, thorough monitoring and oversight process to identify any financial instruments which require increased monitoring of performance.</w:t>
      </w:r>
    </w:p>
    <w:p w14:paraId="51F699C6" w14:textId="77777777" w:rsidR="00CD7C36" w:rsidRDefault="00000000">
      <w:r>
        <w:t>Focus no immediate prospect that a credit loss will ultimately be suffered, but worthy of close credit oversight.</w:t>
      </w:r>
    </w:p>
    <w:p w14:paraId="7C762F85" w14:textId="2227C101" w:rsidR="00CD7C36" w:rsidRDefault="00000000">
      <w:r>
        <w:t>The line item Net remeasurement of ECL arising from stage transfers and changes in risk parameters, including climate risk represents the increase or decrease in credit loss allowances due to modified measurement basis from 12-month to lifetime in relation to stage transfers.</w:t>
      </w:r>
    </w:p>
    <w:p w14:paraId="5D0A056A" w14:textId="77777777" w:rsidR="00CD7C36" w:rsidRDefault="00000000">
      <w:r>
        <w:t>Overlays should be supported by adequately documented processes and subject to strict governance oversight.</w:t>
      </w:r>
    </w:p>
    <w:p w14:paraId="647E9656" w14:textId="77777777" w:rsidR="00CD7C36" w:rsidRDefault="00000000">
      <w:r>
        <w:t>As at 31 December 2023, the increase in expected credit losses recognised in relation to climate risk was not deemed material to warrant further disclosures.</w:t>
      </w:r>
    </w:p>
    <w:p w14:paraId="675A517C" w14:textId="77777777" w:rsidR="00CD7C36" w:rsidRDefault="00000000">
      <w:r>
        <w:t>Group ALCO provides oversight and ensures that decisions taken at Belgium ALCO are aligned to the interests of the Group.</w:t>
      </w:r>
    </w:p>
    <w:p w14:paraId="0EF4DFA3" w14:textId="77777777" w:rsidR="00CD7C36" w:rsidRDefault="00000000">
      <w:r>
        <w:t>In addition, it is responsible for recommending to the Board an appropriate liquidity and funding risk appetite and for ap­ proving liquidity risk-related policies and recommendations.</w:t>
      </w:r>
    </w:p>
    <w:p w14:paraId="63341EAB" w14:textId="77777777" w:rsidR="00CD7C36" w:rsidRDefault="00000000">
      <w:r>
        <w:t>Under the leadership of the Group CRO, it is responsible for ensuring that all significant risks relating to liquidity are properly identified and clearly incorporated into the Group’s risk management and reporting framework.</w:t>
      </w:r>
    </w:p>
    <w:p w14:paraId="618977A3" w14:textId="77777777" w:rsidR="00CD7C36" w:rsidRDefault="00000000">
      <w:r>
        <w:t>In view of the Group’s policy for managing currency risk, the Board does not deem necessary the presentation of a sensitivity analysis disclosing how profit or loss and equity would have been affected by changes in foreign exchange rates that were reasonably possible at the end of the reporting year.</w:t>
      </w:r>
    </w:p>
    <w:p w14:paraId="71BF892B" w14:textId="77777777" w:rsidR="00CD7C36" w:rsidRDefault="00000000">
      <w:r>
        <w:t>The monitoring/reporting activity is reviewed and managed independently by Group/MeDirect Belgium ALCO for the First Line of Defence, by the Risk Committee for the Second Line of Defence, and by the Audit Committee for the Third Line of Defence.</w:t>
      </w:r>
    </w:p>
    <w:p w14:paraId="5BFE3878" w14:textId="77777777" w:rsidR="00CD7C36" w:rsidRDefault="00000000">
      <w:r>
        <w:t>Operational Risk Management ensures that the Group’s risk appetite for operational risk is translated in a form that can be implemented and managed in practice.</w:t>
      </w:r>
    </w:p>
    <w:p w14:paraId="42C94B8E" w14:textId="77777777" w:rsidR="00CD7C36" w:rsidRDefault="00000000">
      <w:r>
        <w:t>Operational Risk Management aim to develop KRIs that allow for the monitoring of internal controls factors associated with significant risks.</w:t>
      </w:r>
    </w:p>
    <w:p w14:paraId="3F645902" w14:textId="77777777" w:rsidR="00CD7C36" w:rsidRDefault="00000000">
      <w:r>
        <w:t xml:space="preserve">Material risks and breaches are escalated to the Group’s governing bodies, such as Executive Committee and Board Committee, which serve as medium to ensure that </w:t>
      </w:r>
      <w:r>
        <w:lastRenderedPageBreak/>
        <w:t>corrective action plans are in place to mitigate significant risks and avoid reoccurrence of events impacting the Group’s operations.</w:t>
      </w:r>
    </w:p>
    <w:p w14:paraId="07B77414" w14:textId="77777777" w:rsidR="00CD7C36" w:rsidRDefault="00000000">
      <w:r>
        <w:t>Operational Risk Management is also responsible to ensure that the Group has contingencies in the event of business disruption.</w:t>
      </w:r>
    </w:p>
    <w:p w14:paraId="23ECC848" w14:textId="77777777" w:rsidR="00CD7C36" w:rsidRDefault="00000000">
      <w:r>
        <w:t>The ICT Security function, led by the CISO manages the Group ICT and Security Risk management framework.</w:t>
      </w:r>
    </w:p>
    <w:p w14:paraId="4DCC41A8" w14:textId="77777777" w:rsidR="00CD7C36" w:rsidRDefault="00000000">
      <w:r>
        <w:t>The Framework documents the Group’s approach to managing ICT risks and is reviewed and approved by the Board an­ nually.</w:t>
      </w:r>
    </w:p>
    <w:p w14:paraId="2FFF9928" w14:textId="77777777" w:rsidR="00CD7C36" w:rsidRDefault="00000000">
      <w:r>
        <w:t>The Framework has been documented taking into consideration supervisory requirements, namely the EBA Guidelines on ICT and security risk management EBA/GL/2019/04.</w:t>
      </w:r>
    </w:p>
    <w:p w14:paraId="7BA3662D" w14:textId="77777777" w:rsidR="00CD7C36" w:rsidRDefault="00000000">
      <w:r>
        <w:t>The Board structure enables the Group to coordinate its CER/ESG policies and procedures to ensure consistency on matters affecting all entities within the Group across all jurisdictions including Malta, Belgium, UK and the Netherlands.</w:t>
      </w:r>
    </w:p>
    <w:p w14:paraId="4693B399" w14:textId="77777777" w:rsidR="00CD7C36" w:rsidRDefault="00000000">
      <w:r>
        <w:t>By setting the ESG agenda at the parent level, the Board ensures a common ESG strategic framework which can be deployed and implemented across the Group, including at the subsidiary level.</w:t>
      </w:r>
    </w:p>
    <w:p w14:paraId="2B5DD9F6" w14:textId="77777777" w:rsidR="00CD7C36" w:rsidRDefault="00000000">
      <w:r>
        <w:t>Moreover, the Group incorporated CER across the three lines of defence “LoD” by updating business procedures and policies, the risk management framework, risk appetite, stress testing, compliance monitoring plans and internal audit plan.</w:t>
      </w:r>
    </w:p>
    <w:p w14:paraId="4A7F82FD" w14:textId="77777777" w:rsidR="00CD7C36" w:rsidRDefault="00000000">
      <w:r>
        <w:t>The front-line business is responsible for identifying, assessing and managing sustainability risks within their spe­ cific operations and for incorporating the management of such risks in the various stages of their business processes including, amongst others, the credit process.</w:t>
      </w:r>
    </w:p>
    <w:p w14:paraId="18D10ED6" w14:textId="77777777" w:rsidR="00CD7C36" w:rsidRDefault="00000000">
      <w:r>
        <w:t>The Risk function is responsible for developing and tracking a dashboard of relevant CER/ESG risk indicators, stress test and limits within the existing risk reporting frameworks of the Group, with continuous enhancement over time.</w:t>
      </w:r>
    </w:p>
    <w:p w14:paraId="2732E2F0" w14:textId="77777777" w:rsidR="00CD7C36" w:rsidRDefault="00000000">
      <w:r>
        <w:t>The Compliance Functions are responsible for preparing com­ pliance plans that consider CER/ESG risk.</w:t>
      </w:r>
    </w:p>
    <w:p w14:paraId="6638D7B1" w14:textId="77777777" w:rsidR="00CD7C36" w:rsidRDefault="00000000">
      <w:r>
        <w:t>The Compliance Function operates independently from the business units, albeit advising and assisting the business units and other internal functions to ensure that operations are in line with policies, procedures and regulation.</w:t>
      </w:r>
    </w:p>
    <w:p w14:paraId="2DB79E95" w14:textId="77777777" w:rsidR="00CD7C36" w:rsidRDefault="00000000">
      <w:r>
        <w:t>The IAF third line of defence is responsible for executing a multi-year audit plan across the Group and on a periodic basis, provides global or targeted assurance on the integration and proper imple­ mentation of CER/ESG risks across the governance, internal control, operational and business processes of the Group.</w:t>
      </w:r>
    </w:p>
    <w:p w14:paraId="784B8893" w14:textId="77777777" w:rsidR="00CD7C36" w:rsidRDefault="00000000">
      <w:r>
        <w:lastRenderedPageBreak/>
        <w:t>During the last two years the Group incorporated CER/ESG criteria in a number of policies and procedures including Risk Management Framework, Risk Appetite Statements, the Stress Testing Framework, Sustainability Risk, Planning and Budgeting, Impairment and Accounting, Procurement and Remuneration policies.</w:t>
      </w:r>
    </w:p>
    <w:p w14:paraId="04C3766D" w14:textId="77777777" w:rsidR="00CD7C36" w:rsidRDefault="00000000">
      <w:r>
        <w:t>MeDirect Sustainability Policy outlines the Group’s approach on integrating and managing sustainability risks in the Group’s main processes including credit, wealth, procurement, remuneration and governance processes.</w:t>
      </w:r>
    </w:p>
    <w:p w14:paraId="59A2F336" w14:textId="77777777" w:rsidR="00CD7C36" w:rsidRDefault="00000000">
      <w:r>
        <w:t>During 2023, the Risk and appropriate Business functions have adopted hard risk appetite limits into its Risk Appetite Statements for all lending portfolios linked to physical and/or transition climate risks, such as high flood risk and high sea-level increase risk regions, poor EPC scoring yearly energy efficiency of the mortgaged properties, sectors highly contributing to climate change, and exclusion sectoral lists.</w:t>
      </w:r>
    </w:p>
    <w:p w14:paraId="5B59409F" w14:textId="77777777" w:rsidR="00CD7C36" w:rsidRDefault="00000000">
      <w:r>
        <w:t>The assessment included all on-balance sheet elements and off-balance sheet elements, covering physical risks floods/fluvial, sea level risk, drought/external heat, forest fire/wildfire, biodiversity loss, water stress and transition risks policy/regulations, stranding risk, market sentiment, technology change including high-level impact horizons short, medium and long-term.</w:t>
      </w:r>
    </w:p>
    <w:p w14:paraId="0A110415" w14:textId="77777777" w:rsidR="00CD7C36" w:rsidRDefault="00000000">
      <w:r>
        <w:t>The direct impact of MeDirect operation is not material as the Group mainly operates in digital channels and its greenhouse gas emissions and resources consumption are limited.</w:t>
      </w:r>
    </w:p>
    <w:p w14:paraId="49D657D2" w14:textId="77777777" w:rsidR="00CD7C36" w:rsidRDefault="00000000">
      <w:r>
        <w:t>The impact is mainly in­ direct through financing clients from the sectors highly contributing to the climate change or through green financing.</w:t>
      </w:r>
    </w:p>
    <w:p w14:paraId="3EF3E3FD" w14:textId="77777777" w:rsidR="00CD7C36" w:rsidRDefault="00000000">
      <w:r>
        <w:t>The Group complies with the provisions of the CRR in respect of regulatory capital and it applies the standardised approach for credit risk.</w:t>
      </w:r>
    </w:p>
    <w:p w14:paraId="2D7E2C70" w14:textId="77777777" w:rsidR="00CD7C36" w:rsidRDefault="00000000">
      <w:r>
        <w:t>Group’s policy is to maintain a good capital base to maintain investor, creditor and market confidence and to sustain future development of the business.</w:t>
      </w:r>
    </w:p>
    <w:p w14:paraId="0E076C83" w14:textId="7D005815" w:rsidR="00CD7C36" w:rsidRDefault="00000000">
      <w:r>
        <w:t>As disclosed in the remuneration report, share-based payments are granted to certain Executive Directors and other material risk takers under a performance and retention bonus plan, where they are entitled to share-linked instruments, subject to a deferral period not greater than five years, the value of which is based on changes in the fair value of the ordinary shares of MDB Group Limited but which are settled in cash and hence do not entitle the employees to shares or any interest in or right over such shares.</w:t>
      </w:r>
    </w:p>
    <w:sectPr w:rsidR="00CD7C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40890156">
    <w:abstractNumId w:val="8"/>
  </w:num>
  <w:num w:numId="2" w16cid:durableId="2013289434">
    <w:abstractNumId w:val="6"/>
  </w:num>
  <w:num w:numId="3" w16cid:durableId="1417827345">
    <w:abstractNumId w:val="5"/>
  </w:num>
  <w:num w:numId="4" w16cid:durableId="929848200">
    <w:abstractNumId w:val="4"/>
  </w:num>
  <w:num w:numId="5" w16cid:durableId="334957664">
    <w:abstractNumId w:val="7"/>
  </w:num>
  <w:num w:numId="6" w16cid:durableId="1525098489">
    <w:abstractNumId w:val="3"/>
  </w:num>
  <w:num w:numId="7" w16cid:durableId="1877347598">
    <w:abstractNumId w:val="2"/>
  </w:num>
  <w:num w:numId="8" w16cid:durableId="251358509">
    <w:abstractNumId w:val="1"/>
  </w:num>
  <w:num w:numId="9" w16cid:durableId="166323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A45"/>
    <w:rsid w:val="0015074B"/>
    <w:rsid w:val="0029639D"/>
    <w:rsid w:val="00326F90"/>
    <w:rsid w:val="005E7043"/>
    <w:rsid w:val="00765CF9"/>
    <w:rsid w:val="00930F6C"/>
    <w:rsid w:val="00980F51"/>
    <w:rsid w:val="00A952C9"/>
    <w:rsid w:val="00AA1D8D"/>
    <w:rsid w:val="00B47730"/>
    <w:rsid w:val="00CB0664"/>
    <w:rsid w:val="00CD7C36"/>
    <w:rsid w:val="00E35F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7677E"/>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3804</Words>
  <Characters>21688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2025-07-31T20:51:00Z</dcterms:modified>
  <cp:category/>
</cp:coreProperties>
</file>