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0415C" w14:textId="77777777" w:rsidR="0016134C" w:rsidRDefault="00000000">
      <w:r>
        <w:t>Newest developments, SEPA instant payments and wealth management Looking to the future, MeDirect has an ambitious roadmap aimed at further enhancing its services.</w:t>
      </w:r>
    </w:p>
    <w:p w14:paraId="01A8571E" w14:textId="77777777" w:rsidR="0016134C" w:rsidRDefault="00000000">
      <w:r>
        <w:t>Capital position of the Group MeDirect’s capital and liquidity positions remained adequate, supporting the continuation of its business strategy and both above regulatory requirements, recommendations and management buffers.</w:t>
      </w:r>
    </w:p>
    <w:p w14:paraId="3222D492" w14:textId="77777777" w:rsidR="0016134C" w:rsidRDefault="00000000">
      <w:r>
        <w:t>This effort aligns with MeDirect’s commitment to reducing its own carbon footprint and financed emissions to achieve net-zero by 2050, in line with the Group’s ESG Strategy.</w:t>
      </w:r>
    </w:p>
    <w:p w14:paraId="7D41A121" w14:textId="77777777" w:rsidR="0016134C" w:rsidRDefault="00000000">
      <w:r>
        <w:t>To reduce its own emissions, MeDirect sources 100% green energy for its offices in the Netherlands and the United Kingdom, while its Malta and Belgium offices are LEED Leadership in Energy and Environmental Design and CWaPE Commission wallonne pour l’énergie certified.</w:t>
      </w:r>
    </w:p>
    <w:p w14:paraId="59CF6E41" w14:textId="77777777" w:rsidR="0016134C" w:rsidRDefault="00000000">
      <w:r>
        <w:t>On 28 November 2024, Banka CREDITAS agreed to purchase MeDirect, subject to all required regulatory approvals, The prospective acquisition of MeDirect by Banka CREDITAS is expected to provide the Group with a strong controlling shareholder, committed to reinforcing the Group’s capital base and facilitating its sustainable growth plans in each of the markets in which it competes.</w:t>
      </w:r>
    </w:p>
    <w:p w14:paraId="05C58E0E" w14:textId="77777777" w:rsidR="0016134C" w:rsidRDefault="00000000">
      <w:r>
        <w:t>The Group continued to de-risk its balance sheet and to reduce the size of its ICL portfolio, whilst maintaining adequate prudential ratios, in excess of regulatory requirements, recommendations and management buffers.</w:t>
      </w:r>
    </w:p>
    <w:p w14:paraId="06E76BC8" w14:textId="77777777" w:rsidR="0016134C" w:rsidRDefault="00000000">
      <w:r>
        <w:t>The Board has determined that the Group should conserve its capital to maximise its ability to support its customers, to continue to strengthen its balance sheet and to invest selectively in its Wealth platform.</w:t>
      </w:r>
    </w:p>
    <w:p w14:paraId="771E9013" w14:textId="77777777" w:rsidR="0016134C" w:rsidRDefault="00000000">
      <w:r>
        <w:t>Confirmation of MeDirect’s going concern assessment After due consideration of MeDirect’s business, profitability projections, funding and capital plans, robust risk and internal control processes and taking into account the broader macroeconomic outlook, the Directors declare that MeDirect is in a position to continue operating as a going concern for the foreseeable future.</w:t>
      </w:r>
    </w:p>
    <w:p w14:paraId="6A8A207C" w14:textId="77777777" w:rsidR="0016134C" w:rsidRDefault="00000000">
      <w:r>
        <w:t>Enhancing risk governance MeDirect understands the importance of adopting sound enterprise-wide risk management principles.</w:t>
      </w:r>
    </w:p>
    <w:p w14:paraId="500D315A" w14:textId="77777777" w:rsidR="0016134C" w:rsidRDefault="00000000">
      <w:r>
        <w:t>MeDirect’s risk management approach focuses on ensuring continued financial soundness and safeguarding the interests of its 9 Annual Report and Financial Statements 2024 stakeholders while retaining the ability to pursue value-creating business opportunities in a fast-changing environment.</w:t>
      </w:r>
    </w:p>
    <w:p w14:paraId="252B30A6" w14:textId="77777777" w:rsidR="0016134C" w:rsidRDefault="00000000">
      <w:r>
        <w:t>The ERMF outlines the highest level principles for risk management by setting out standards, objectives and key responsibilities of different risks and groups across the Group.</w:t>
      </w:r>
    </w:p>
    <w:p w14:paraId="04F619D0" w14:textId="77777777" w:rsidR="0016134C" w:rsidRDefault="00000000">
      <w:r>
        <w:lastRenderedPageBreak/>
        <w:t>MeDirect has designed its risk management framework to support and enable the sustainable delivery of its strategy.</w:t>
      </w:r>
    </w:p>
    <w:p w14:paraId="7048FB4E" w14:textId="77777777" w:rsidR="0016134C" w:rsidRDefault="00000000">
      <w:r>
        <w:t>The ERMF identifies ten principal risks which are, business model and strategy risk, capital adequacy, liquidity risk, credit risk, market risk, operational risk, IT and information security risk, financial crime risk, regulatory risk and reputational risk.</w:t>
      </w:r>
    </w:p>
    <w:p w14:paraId="3ADDC8C3" w14:textId="77777777" w:rsidR="0016134C" w:rsidRDefault="00000000">
      <w:r>
        <w:t>Risk appetite limits established by the Board set forth the amount and types of risk that MeDirect is prepared to accept or tolerate when delivering its strategy.</w:t>
      </w:r>
    </w:p>
    <w:p w14:paraId="696BAA31" w14:textId="77777777" w:rsidR="0016134C" w:rsidRDefault="00000000">
      <w:r>
        <w:t>Stress testing is an important part of the Group’s risk management framework and addresses a range of idiosyncratic and market-wide scenarios.</w:t>
      </w:r>
    </w:p>
    <w:p w14:paraId="626D1355" w14:textId="77777777" w:rsidR="0016134C" w:rsidRDefault="00000000">
      <w:r>
        <w:t>MeDirect is also responsible for designing, implementing and maintaining internal controls designed to enable the preparation of financial statements that are free from material misstatement, whether due to fraud or error, and that comply with the Maltese Companies Act Cap.</w:t>
      </w:r>
    </w:p>
    <w:p w14:paraId="0D8B958C" w14:textId="77777777" w:rsidR="0016134C" w:rsidRDefault="00000000">
      <w:r>
        <w:t>MeDirect is responsible for the maintenance and integrity of the Annual Report on the website in view of its responsibility for the 1 Statement pursuant to Capital Market Rule 5.</w:t>
      </w:r>
    </w:p>
    <w:p w14:paraId="3EF4E464" w14:textId="77777777" w:rsidR="0016134C" w:rsidRDefault="00000000">
      <w:r>
        <w:t>However, the Directors believe that such practices are in the best interests of MeDirect Malta, its shareholders and other stakeholders, primarily because compliance with principles of good corporate governance is expected by investors on the Malta Stock Exchange and evidences the Directors’ and the Group’s commitment to a high standard of corporate governance.</w:t>
      </w:r>
    </w:p>
    <w:p w14:paraId="53EAA393" w14:textId="77777777" w:rsidR="0016134C" w:rsidRDefault="00000000">
      <w:r>
        <w:t>It is in the light of these factors that the Directors are herein reporting on the corporate governance of MeDirect Malta.</w:t>
      </w:r>
    </w:p>
    <w:p w14:paraId="6B9210AC" w14:textId="77777777" w:rsidR="0016134C" w:rsidRDefault="00000000">
      <w:r>
        <w:t>Overall risk strategy, including the risk appetite and risk management framework.</w:t>
      </w:r>
    </w:p>
    <w:p w14:paraId="5D968141" w14:textId="77777777" w:rsidR="0016134C" w:rsidRDefault="00000000">
      <w:r>
        <w:t>Arrangements ensuring the integrity of the accounting and financial reporting systems, including financial and operational controls designed to ensure compliance with law and regulation as well as relevant standards.</w:t>
      </w:r>
    </w:p>
    <w:p w14:paraId="71E994AB" w14:textId="77777777" w:rsidR="0016134C" w:rsidRDefault="00000000">
      <w:r>
        <w:t>The Board has oversight of the following, The process of public disclosures and communications with external stakeholders and competent authorities.</w:t>
      </w:r>
    </w:p>
    <w:p w14:paraId="28F96034" w14:textId="77777777" w:rsidR="0016134C" w:rsidRDefault="00000000">
      <w:r>
        <w:t>The Board monitors, periodically reviews and addresses any weaknesses identified regarding the implementation of processes, strategies and policies related to any of their approval and oversight responsibilities.</w:t>
      </w:r>
    </w:p>
    <w:p w14:paraId="01EC7CF1" w14:textId="77777777" w:rsidR="0016134C" w:rsidRDefault="00000000">
      <w:r>
        <w:t>In addition, the Audit Committee oversees the design adequacy and operating effectiveness of the Group’s internal control framework and governance structure through the activities of the Internal Audit Function.</w:t>
      </w:r>
    </w:p>
    <w:p w14:paraId="6881D90E" w14:textId="77777777" w:rsidR="0016134C" w:rsidRDefault="00000000">
      <w:r>
        <w:lastRenderedPageBreak/>
        <w:t>John Zarb retired from his role as partner at PricewaterhouseCoopers at the end of 2014 after a career spanning over 40 years in the audit and advisory practices of the firm.</w:t>
      </w:r>
    </w:p>
    <w:p w14:paraId="5870CE12" w14:textId="77777777" w:rsidR="0016134C" w:rsidRDefault="00000000">
      <w:r>
        <w:t>Amongst the primary responsibilities of the Board Risk and Compliance Committee are, to ensure that the Group’s risk strategy and Risk Appetite Framework including its Risk Appetite Statement and associated thresholds for escalation and related controls are comprehensive and consistent with the Group’s business strategy, objectives, corporate culture and values.</w:t>
      </w:r>
    </w:p>
    <w:p w14:paraId="7A9E6D2A" w14:textId="77777777" w:rsidR="0016134C" w:rsidRDefault="00000000">
      <w:r>
        <w:t>It focuses on MeDirect Malta’s growth strategies and new initiatives and monitors the ability of MeDirect Malta to respond to new regulatory developments.</w:t>
      </w:r>
    </w:p>
    <w:p w14:paraId="2ACEE24A" w14:textId="77777777" w:rsidR="0016134C" w:rsidRDefault="00000000">
      <w:r>
        <w:t>It meets on a monthly basis and is responsible for the formulation and implementation of Board-approved strategies and plans and for ensuring that the business is operated in accordance with such strategies and plans.</w:t>
      </w:r>
    </w:p>
    <w:p w14:paraId="5DCBF84A" w14:textId="77777777" w:rsidR="0016134C" w:rsidRDefault="00000000">
      <w:r>
        <w:t>This includes providing executive risk management oversight of risk strategy, risk policy, risk appetite, risk tolerance, emerging risks and portfolio risk exposure across all principal risk categories.</w:t>
      </w:r>
    </w:p>
    <w:p w14:paraId="75010CB1" w14:textId="77777777" w:rsidR="0016134C" w:rsidRDefault="00000000">
      <w:r>
        <w:t>The following are the main responsibilities of the EMRC, Oversee and advise the Malta ExCo and the Board Risk and Compliance Committee across all enterprise riskrelated matters.</w:t>
      </w:r>
    </w:p>
    <w:p w14:paraId="4450CC06" w14:textId="77777777" w:rsidR="0016134C" w:rsidRDefault="00000000">
      <w:r>
        <w:t>Monitor and oversee compliance with risk appetite limits and risk strategy across all principal risks at the MeDirect Malta entity level and at the Group level and advise and escalate to the Board Risk and Compliance Committee on risk appetite and risk tolerance-related matters, where necessary.</w:t>
      </w:r>
    </w:p>
    <w:p w14:paraId="6AAFE768" w14:textId="77777777" w:rsidR="0016134C" w:rsidRDefault="00000000">
      <w:r>
        <w:t>Its purpose is to provide oversight of the implementation of the Model Risk Management Framework, specifically the validation, monitoring and oversight of the models used in the Group.</w:t>
      </w:r>
    </w:p>
    <w:p w14:paraId="794D69D4" w14:textId="77777777" w:rsidR="0016134C" w:rsidRDefault="00000000">
      <w:r>
        <w:t>Members of the MGC are fully knowledgeable about the model risk management framework of the Group and have a broad understanding of the financial and business risks of the Group and the financial and business environment.</w:t>
      </w:r>
    </w:p>
    <w:p w14:paraId="29E1DD2F" w14:textId="77777777" w:rsidR="0016134C" w:rsidRDefault="00000000">
      <w:r>
        <w:t>Its purpose is to provide risk management oversight for MeDirect Malta in relation to compliance and financial crime risk by assessing and monitoring such risks and by ensuring compliance with regulatory requirements, industry standard, and internal controls relating to such risks.</w:t>
      </w:r>
    </w:p>
    <w:p w14:paraId="58EF0E98" w14:textId="77777777" w:rsidR="0016134C" w:rsidRDefault="00000000">
      <w:r>
        <w:t>This includes providing risk management oversight of the strategy, policies, risk appetite and risk tolerance in respect of compliance and financial crime risk, monitoring and addressing emerging risks and managing overall compliance and financial crime risk exposure.</w:t>
      </w:r>
    </w:p>
    <w:p w14:paraId="660FB1BC" w14:textId="77777777" w:rsidR="0016134C" w:rsidRDefault="00000000">
      <w:r>
        <w:lastRenderedPageBreak/>
        <w:t>It also oversees the implementation of ESG-related initiatives and reporting, corporate social responsibility engagement and monitoring of ESG- and CER-related risks and opportunities.</w:t>
      </w:r>
    </w:p>
    <w:p w14:paraId="0322754F" w14:textId="77777777" w:rsidR="0016134C" w:rsidRDefault="00000000">
      <w:r>
        <w:t>ALCO monitors and evaluates, at an integrated and consolidated exposures level, the liquidity, funding and capital position of the Group on a continuous basis to ensure that business and regulatory requirements are met and to provide tactical and strategic direction.</w:t>
      </w:r>
    </w:p>
    <w:p w14:paraId="5BFAFC6A" w14:textId="77777777" w:rsidR="0016134C" w:rsidRDefault="00000000">
      <w:r>
        <w:t>Furthermore, the Committee oversees and exercises executive authority, in each case in accordance with the risk appetite statement set by the Board of Directors, for, market risk positions including foreign exchange and hedging activities.</w:t>
      </w:r>
    </w:p>
    <w:p w14:paraId="46B24880" w14:textId="77777777" w:rsidR="0016134C" w:rsidRDefault="00000000">
      <w:r>
        <w:t>Governance of the arrangements related to budgeted spending on change initiatives, business continuity and disaster recovery and data retention and archiving.</w:t>
      </w:r>
    </w:p>
    <w:p w14:paraId="409426C0" w14:textId="77777777" w:rsidR="0016134C" w:rsidRDefault="00000000">
      <w:r>
        <w:t>As part of succession planning and talent management, MeDirect Malta’s and MeDirect Belgium’s Boards and CEOs ensure that MeDirect implements appropriate schemes to recruit, retain and motivate high quality executive officers.</w:t>
      </w:r>
    </w:p>
    <w:p w14:paraId="0E9F5BD6" w14:textId="77777777" w:rsidR="0016134C" w:rsidRDefault="00000000">
      <w:r>
        <w:t>They also encourage members of management to progress to higher levels, seek to maintain high morale amongst MeDirect’s Malta’s personnel and identify high performing employees with the potential to take on more responsibilities.</w:t>
      </w:r>
    </w:p>
    <w:p w14:paraId="1292CA2E" w14:textId="77777777" w:rsidR="0016134C" w:rsidRDefault="00000000">
      <w:r>
        <w:t>The Boards’ training programmes aim to improve Board members’ awareness of risk, regulation and compliance developments in the financial services sector, covering topics ranging from ESG and sustainable finance to information technology and cyber security.</w:t>
      </w:r>
    </w:p>
    <w:p w14:paraId="24630B59" w14:textId="77777777" w:rsidR="0016134C" w:rsidRDefault="00000000">
      <w:r>
        <w:t>Directors of MeDirect Malta and MeDirect Belgium Directors are given opportunities to update and develop their skills and knowledge through briefings by senior executives and externally run seminars.</w:t>
      </w:r>
    </w:p>
    <w:p w14:paraId="06B7177F" w14:textId="77777777" w:rsidR="0016134C" w:rsidRDefault="00000000">
      <w:r>
        <w:t>During the year under review, MeDirect Malta issued various company announcements and media releases to explain ongoing corporate developments, material events and transactions and their impact on MeDirect Malta’s financial position.</w:t>
      </w:r>
    </w:p>
    <w:p w14:paraId="390D2586" w14:textId="77777777" w:rsidR="0016134C" w:rsidRDefault="00000000">
      <w:r>
        <w:t>Principle 12, Corporate social responsibility MeDirect Malta remains committed to supporting the community.</w:t>
      </w:r>
    </w:p>
    <w:p w14:paraId="48655CF9" w14:textId="77777777" w:rsidR="0016134C" w:rsidRDefault="00000000">
      <w:r>
        <w:t>In fulfilling its role as a responsible corporate citizen, MeDirect actively encourages its employees to engage with and volunteer for causes they about which they care.</w:t>
      </w:r>
    </w:p>
    <w:p w14:paraId="73AC8762" w14:textId="77777777" w:rsidR="0016134C" w:rsidRDefault="00000000">
      <w:r>
        <w:t>In 2024, MeDirect introduced a Volunteering Time Off policy, allowing employees to take two additional paid leave days annually to volunteer with a non-profit organisation, charity, or community group.</w:t>
      </w:r>
    </w:p>
    <w:p w14:paraId="3CD2AD05" w14:textId="77777777" w:rsidR="0016134C" w:rsidRDefault="00000000">
      <w:r>
        <w:lastRenderedPageBreak/>
        <w:t>Through an ongoing partnership with The Richmond Foundation, employees have access to counselling services to support their personal and professional lives.</w:t>
      </w:r>
    </w:p>
    <w:p w14:paraId="79445A60" w14:textId="77777777" w:rsidR="0016134C" w:rsidRDefault="00000000">
      <w:r>
        <w:t>In 2024, MeDirect supported various initiatives, including employees volunteering to educate students on personal finance and backing the launch of a finance toolkit.</w:t>
      </w:r>
    </w:p>
    <w:p w14:paraId="4E4C129B" w14:textId="77777777" w:rsidR="0016134C" w:rsidRDefault="00000000">
      <w:r>
        <w:t>MeDirect’s financial contributions to charitable causes continued during 2024, including a donation to L-Istrina, Malta’s annual national fundraiser in support of the Malta Community Chest Fund Foundation.</w:t>
      </w:r>
    </w:p>
    <w:p w14:paraId="57729634" w14:textId="77777777" w:rsidR="0016134C" w:rsidRDefault="00000000">
      <w:r>
        <w:t>Employees also participated in the 20km of Brussels, with MeDirect Belgium giving a donation to Think Pink, an organisation dedicated to raising breast cancer awareness and funding research.</w:t>
      </w:r>
    </w:p>
    <w:p w14:paraId="61F9372F" w14:textId="77777777" w:rsidR="0016134C" w:rsidRDefault="00000000">
      <w:r>
        <w:t>These partnerships enabled the tennis club to provide training for underprivileged children and supported the rugby team in developing its youth programme, with a focus on initiatives that helped teens and young adults build self confidence.</w:t>
      </w:r>
    </w:p>
    <w:p w14:paraId="30C6EE4D" w14:textId="77777777" w:rsidR="0016134C" w:rsidRDefault="00000000">
      <w:r>
        <w:t>MeDirect operates a system of internal controls that provides reasonable assurance of effective and efficient operations, including controls relating to financial and operational matters and compliance with laws and regulations.</w:t>
      </w:r>
    </w:p>
    <w:p w14:paraId="5AB0CCD9" w14:textId="77777777" w:rsidR="0016134C" w:rsidRDefault="00000000">
      <w:r>
        <w:t>The management of MeDirect is responsible for instituting and preserving sufficient internal control over financial reporting.</w:t>
      </w:r>
    </w:p>
    <w:p w14:paraId="4BAF889B" w14:textId="77777777" w:rsidR="0016134C" w:rsidRDefault="00000000">
      <w:r>
        <w:t>Internal control over financial reporting includes policies and procedures that relate to, maintaining records that, in reasonable detail, accurately and fairly reflect transactions and dispositions of assets.</w:t>
      </w:r>
    </w:p>
    <w:p w14:paraId="2818921A" w14:textId="77777777" w:rsidR="0016134C" w:rsidRDefault="00000000">
      <w:r>
        <w:t>The NRCs are charged with aligning the Group’s remuneration policy and in particular performance-related elements of remuneration, with the Group’s business strategy and risk tolerance, objectives, values and long-term interests.</w:t>
      </w:r>
    </w:p>
    <w:p w14:paraId="51A9C995" w14:textId="77777777" w:rsidR="0016134C" w:rsidRDefault="00000000">
      <w:r>
        <w:t>One of the NRCs primary functions of the NRCs is to ensure that the Group is able to attract and retain suitable employees at all levels at an acceptable cost.</w:t>
      </w:r>
    </w:p>
    <w:p w14:paraId="79A746AC" w14:textId="77777777" w:rsidR="0016134C" w:rsidRDefault="00000000">
      <w:r>
        <w:t>On an annual basis, the NRCs review the budgets allocated to the fixed salary increases for the forthcoming year and the variable remuneration pools for the previous financial year and review the individual remuneration of senior management and staff members who are employed in control functions such as Risk and Compliance, as well as that of staff with total remuneration above a threshold fixed by the relative NRC.</w:t>
      </w:r>
    </w:p>
    <w:p w14:paraId="214F23C1" w14:textId="77777777" w:rsidR="0016134C" w:rsidRDefault="00000000">
      <w:r>
        <w:t>The policy is also reviewed on an annual basis by the Internal Audit function to ensure that it complies with all applicable legal and regulatory requirements.</w:t>
      </w:r>
    </w:p>
    <w:p w14:paraId="741B72E9" w14:textId="77777777" w:rsidR="0016134C" w:rsidRDefault="00000000">
      <w:r>
        <w:lastRenderedPageBreak/>
        <w:t>The purpose of the Remuneration Policy is to set out the overall principles that MeDirect Malta and MeDirect Belgium must follow when determining the remuneration and compensation of its management and staff.</w:t>
      </w:r>
    </w:p>
    <w:p w14:paraId="5C143FA4" w14:textId="77777777" w:rsidR="0016134C" w:rsidRDefault="00000000">
      <w:r>
        <w:t>The Boards, directly and through the NRCs, carry out effective monitoring and evaluation of adherence to the remuneration policy and of the Group’s remuneration system on an ongoing basis.</w:t>
      </w:r>
    </w:p>
    <w:p w14:paraId="0FDA5F1B" w14:textId="77777777" w:rsidR="0016134C" w:rsidRDefault="00000000">
      <w:r>
        <w:t>The NRCs and the Boards monitor the ongoing performance by executive directors and senior management and determine the design and implementation of an effective remuneration system.</w:t>
      </w:r>
    </w:p>
    <w:p w14:paraId="477F5132" w14:textId="77777777" w:rsidR="0016134C" w:rsidRDefault="00000000">
      <w:r>
        <w:t>They also ensure that remuneration policies and practices are consistent with a prudent, forward-looking approach, aimed at maintaining a sound capital base, and that all awards of variable remuneration to Material Risk Takers are subject to malus and clawback arrangements and are otherwise consistent with the Remuneration Policy.</w:t>
      </w:r>
    </w:p>
    <w:p w14:paraId="7A5AC274" w14:textId="77777777" w:rsidR="0016134C" w:rsidRDefault="00000000">
      <w:r>
        <w:t>Compliance with the Group’s rules and requirements and ongoing involvement in risk management are taken into account when determining performance-based remuneration for employees.</w:t>
      </w:r>
    </w:p>
    <w:p w14:paraId="06E2CD70" w14:textId="77777777" w:rsidR="0016134C" w:rsidRDefault="00000000">
      <w:r>
        <w:t>Other non-financial factors are considered such as skills acquired, personal development, commitment to the Group’s business strategies and policies and contribution to the performance of the team.</w:t>
      </w:r>
    </w:p>
    <w:p w14:paraId="45EFE760" w14:textId="77777777" w:rsidR="0016134C" w:rsidRDefault="00000000">
      <w:r>
        <w:t>The Risk function also provides input into the process for determining bonus pools and the allocations of variable remuneration awards to ensure that all relevant factors are considered in determining awards.</w:t>
      </w:r>
    </w:p>
    <w:p w14:paraId="1F8C35BA" w14:textId="77777777" w:rsidR="0016134C" w:rsidRDefault="00000000">
      <w:r>
        <w:t>The Internal Audit function also informs the NRC of any negligent or unacceptable behaviour of key staff and management members which should be considered during the review of remuneration levels and approval of performance-related and other variable bonus awards.</w:t>
      </w:r>
    </w:p>
    <w:p w14:paraId="60F5F0F7" w14:textId="77777777" w:rsidR="0016134C" w:rsidRDefault="00000000">
      <w:r>
        <w:t>The Group can apply malus and clawback to variable remuneration if the affected employees were responsible for significant losses to the Group or if standards of fitness and propriety were not met during the period for which the variable remuneration was awarded.</w:t>
      </w:r>
    </w:p>
    <w:p w14:paraId="562A301C" w14:textId="77777777" w:rsidR="0016134C" w:rsidRDefault="00000000">
      <w:r>
        <w:t>Subject to national contract and labour law, total variable remuneration may be reduced in the event of negative financial performance of the Group.</w:t>
      </w:r>
    </w:p>
    <w:p w14:paraId="2B849018" w14:textId="77777777" w:rsidR="0016134C" w:rsidRDefault="00000000">
      <w:r>
        <w:t>Conflicts of interests relating to the Remuneration Policy and the award of remuneration under teh policy are identified and appropriately addressed.</w:t>
      </w:r>
    </w:p>
    <w:p w14:paraId="1798AE1B" w14:textId="77777777" w:rsidR="0016134C" w:rsidRDefault="00000000">
      <w:r>
        <w:t>In 2024 the Group reviewed the remuneration policy and the Deferred Bonus plan, but there were no material changes.</w:t>
      </w:r>
    </w:p>
    <w:p w14:paraId="575BFCED" w14:textId="77777777" w:rsidR="0016134C" w:rsidRDefault="00000000">
      <w:r>
        <w:lastRenderedPageBreak/>
        <w:t>The Group’s reward strategy The quality and long term-commitment of employees is fundamental to the Group’s success.</w:t>
      </w:r>
    </w:p>
    <w:p w14:paraId="7F02F5FF" w14:textId="77777777" w:rsidR="0016134C" w:rsidRDefault="00000000">
      <w:r>
        <w:t>In accordance with Article 92, , of directive 2013/36/EU “CRD”, variable remuneration is not paid through vehicles or methods that facilitate non-compliance with CRD or Regulation No 575/2013.</w:t>
      </w:r>
    </w:p>
    <w:p w14:paraId="2FA4390A" w14:textId="77777777" w:rsidR="0016134C" w:rsidRDefault="00000000">
      <w:r>
        <w:t>Performance bonuses represent additional remuneration, payable to employees as a reward for achieving specific goals or meeting predetermined targets.</w:t>
      </w:r>
    </w:p>
    <w:p w14:paraId="4A2D02C8" w14:textId="77777777" w:rsidR="0016134C" w:rsidRDefault="00000000">
      <w:r>
        <w:t>Grants of retention bonuses, guaranteed remuneration and/or severance payments are made in accordance with applicable regulatory requirements, and any such remuneration is awarded in such form as is determined by the NRCs, taking account of applicable regulatory requirements and Group policy.</w:t>
      </w:r>
    </w:p>
    <w:p w14:paraId="3BD09DCE" w14:textId="77777777" w:rsidR="0016134C" w:rsidRDefault="00000000">
      <w:r>
        <w:t>Determination of variable remuneration pools A variable remuneration pool is established for the Group as a whole and is calculated at Group level based on the success of the Group in meeting its business objectives.</w:t>
      </w:r>
    </w:p>
    <w:p w14:paraId="4D42B7EF" w14:textId="77777777" w:rsidR="0016134C" w:rsidRDefault="00000000">
      <w:r>
        <w:t>In determining the variable remuneration pool, the Group applies a prudent, forward-looking approach, consistent with maintaining a sound capital base.</w:t>
      </w:r>
    </w:p>
    <w:p w14:paraId="13972C56" w14:textId="77777777" w:rsidR="0016134C" w:rsidRDefault="00000000">
      <w:r>
        <w:t>The variable remuneration pool is determined based on the following factors, Financial results of the Group, the relevant subsidiary and/or the relevant business line, after taking into account the cost of risk, capital and liquidity, with the aim of ensuring that the total amount of variable remuneration does not undermine the Group’s or the subsidiary’s capacity to meet its objectives in terms of capital requirements.</w:t>
      </w:r>
    </w:p>
    <w:p w14:paraId="298C90EC" w14:textId="77777777" w:rsidR="0016134C" w:rsidRDefault="00000000">
      <w:r>
        <w:t>Measures of performance as basis for awarding of bonuses All personnel are compensated from the variable remuneration bonus pool based on their contribution to the achievement of the Group’s business objectives as well as personal objectives.</w:t>
      </w:r>
    </w:p>
    <w:p w14:paraId="10A0719F" w14:textId="77777777" w:rsidR="0016134C" w:rsidRDefault="00000000">
      <w:r>
        <w:t>The allocations of individual variable remuneration awards are correlated to the staff member’s formalised annual individual appraisal, that takes into consideration quantitative and qualitative objectives known to the employee, as well as risk management considerations.</w:t>
      </w:r>
    </w:p>
    <w:p w14:paraId="7633A9F7" w14:textId="77777777" w:rsidR="0016134C" w:rsidRDefault="00000000">
      <w:r>
        <w:t>For example, portfolio managers are judged on factors such as risk management, overall continuing performance of the portfolio and contribution to development of the Group’s systems, whereas members of the Treasury function are assessed on effectiveness in managing liquidity as well as interest rate risk.</w:t>
      </w:r>
    </w:p>
    <w:p w14:paraId="370C5454" w14:textId="77777777" w:rsidR="0016134C" w:rsidRDefault="00000000">
      <w:r>
        <w:t>The appraisal process for all employees involves the following stages, Objective setting at the beginning of the year Goals are set for the development of the employee.</w:t>
      </w:r>
    </w:p>
    <w:p w14:paraId="6F0BEE0F" w14:textId="77777777" w:rsidR="0016134C" w:rsidRDefault="00000000">
      <w:r>
        <w:t xml:space="preserve">The amount payable to any individual under the annual variable remuneration plan is based on the following, The Group’s financial performance profits before tax after cost of capital </w:t>
      </w:r>
      <w:r>
        <w:lastRenderedPageBreak/>
        <w:t>adjustments, cost to income ratio and maintenance of all regulatory ratios across the Group including CET1 within established risk appetite levels.</w:t>
      </w:r>
    </w:p>
    <w:p w14:paraId="37B8A398" w14:textId="77777777" w:rsidR="0016134C" w:rsidRDefault="00000000">
      <w:r>
        <w:t>Variable remuneration may not be linked directly to individual sales or revenues generation targets.</w:t>
      </w:r>
    </w:p>
    <w:p w14:paraId="4168D882" w14:textId="77777777" w:rsidR="0016134C" w:rsidRDefault="00000000">
      <w:r>
        <w:t>Control functions are judged on success in developing and implementing appropriate policies, developing effective risk management controls and procedures, monitoring risk and building control systems.</w:t>
      </w:r>
    </w:p>
    <w:p w14:paraId="6E46C858" w14:textId="77777777" w:rsidR="0016134C" w:rsidRDefault="00000000">
      <w:r>
        <w:t>The Group’s remuneration practices shall ensure that no material conflicts of interest arise in respect of remuneration for staff in the Group’s control functions.</w:t>
      </w:r>
    </w:p>
    <w:p w14:paraId="2C80BEFF" w14:textId="77777777" w:rsidR="0016134C" w:rsidRDefault="00000000">
      <w:r>
        <w:t>The criteria used for assessing performance and risk is based exclusively on internal control objectives.</w:t>
      </w:r>
    </w:p>
    <w:p w14:paraId="622C0D2F" w14:textId="77777777" w:rsidR="0016134C" w:rsidRDefault="00000000">
      <w:r>
        <w:t>The clawback provisions state that the bonus may have to be repaid if the recipient of an award participated in or was responsible for conduct which resulted in significant losses to the Group and/or a business unit, in case of failure to meet appropriate standards of fitness and propriety, including cases of fraud, dishonesty or gross negligence, or in the case of significant reputational damage to the Group or a business unit or where such conduct would lead to regulatory actions.</w:t>
      </w:r>
    </w:p>
    <w:p w14:paraId="4F02A807" w14:textId="77777777" w:rsidR="0016134C" w:rsidRDefault="00000000">
      <w:r>
        <w:t>Malus may be applied at the discretion of the relevant NRC, and examples of the circumstances in which such discretion to impose malus may be exercised are included in the Group’s Remuneration Policy.</w:t>
      </w:r>
    </w:p>
    <w:p w14:paraId="33F4FA39" w14:textId="77777777" w:rsidR="0016134C" w:rsidRDefault="00000000">
      <w:r>
        <w:t>The 2016 EU Benchmark Regulation, which aims to ensure the accuracy, robustness and integrity of interest rate benchmarks, has led various national working groups to actively discuss the mechanisms for an orderly transition of five Libor currencies US dollar, Euro, Pound sterling, Japanese yen and the Swiss franc and the Euro Overnight Index Average ‘Eonia’ to their chosen replacement near risk-free rate ‘RFR’.</w:t>
      </w:r>
    </w:p>
    <w:p w14:paraId="583022D7" w14:textId="77777777" w:rsidR="0016134C" w:rsidRDefault="00000000">
      <w:r>
        <w:t>The internal credit risk management framework comprises the use of both qualitative and quantitative SICR triggers.</w:t>
      </w:r>
    </w:p>
    <w:p w14:paraId="49B56C8B" w14:textId="77777777" w:rsidR="0016134C" w:rsidRDefault="00000000">
      <w:r>
        <w:t>Typically, an internal risk grade is assigned to each obligor by the business which is then reviewed by both the Credit Risk Team, and the Management Credit Committee responsible for the oversight of the Group’s respective portfolios.</w:t>
      </w:r>
    </w:p>
    <w:p w14:paraId="5011F38D" w14:textId="77777777" w:rsidR="0016134C" w:rsidRDefault="00000000">
      <w:r>
        <w:t>Focus No immediate prospect that a credit loss will ultimately be suffered, but worthy of closer credit oversight.</w:t>
      </w:r>
    </w:p>
    <w:p w14:paraId="5BB94701" w14:textId="77777777" w:rsidR="0016134C" w:rsidRDefault="00000000">
      <w:r>
        <w:t>As a result, the Group aligned the IFRS 9 definition of default, used for accounting purposes, to the definitions provided in the EBA and BCBS guidelines, thereby ensuring that a single consistent view of credit risk is applied for internal risk management, regulatory capital and the measurement of ECLs.</w:t>
      </w:r>
    </w:p>
    <w:p w14:paraId="6DE5E8F2" w14:textId="77777777" w:rsidR="0016134C" w:rsidRDefault="00000000">
      <w:r>
        <w:lastRenderedPageBreak/>
        <w:t>This is subject to regulatory materiality thresholds defined in the Group Credit Risk policy.</w:t>
      </w:r>
    </w:p>
    <w:p w14:paraId="28268839" w14:textId="77777777" w:rsidR="0016134C" w:rsidRDefault="00000000">
      <w:r>
        <w:t>On initial designation of the hedge, the Group formally documents the relationship between the hedging instrument/s and hedged item/s, including the risk management objective and strategy in undertaking the hedge, together with the method that will be used to assess the effectiveness of the hedging relationship.</w:t>
      </w:r>
    </w:p>
    <w:p w14:paraId="6944B35E" w14:textId="77777777" w:rsidR="0016134C" w:rsidRDefault="00000000">
      <w:r>
        <w:t>These risks principally relate to the Group’s banking activities and are managed by MeDirect Malta’s Board of Directors.</w:t>
      </w:r>
    </w:p>
    <w:p w14:paraId="0BA213FD" w14:textId="77777777" w:rsidR="0016134C" w:rsidRDefault="00000000">
      <w:r>
        <w:t>The Group’s objective is to deploy an integrated risk management approach that ensures an awareness of, and accountability for, the risks taken throughout the Group and also to develop the tools needed to address those risks.</w:t>
      </w:r>
    </w:p>
    <w:p w14:paraId="63E58788" w14:textId="77777777" w:rsidR="0016134C" w:rsidRDefault="00000000">
      <w:r>
        <w:t>Strong risk management and internal controls are core elements of the Group’s strategy and culture.</w:t>
      </w:r>
    </w:p>
    <w:p w14:paraId="778D5634" w14:textId="77777777" w:rsidR="0016134C" w:rsidRDefault="00000000">
      <w:r>
        <w:t>Compliance &amp; Legal* 3rd line of Defence Internal Audit 74 Annual Report and Financial Statements 2024 Each of these three “lines” play a distinct role within the Group’s wider governance framework.</w:t>
      </w:r>
    </w:p>
    <w:p w14:paraId="0430F504" w14:textId="77777777" w:rsidR="0016134C" w:rsidRDefault="00000000">
      <w:r>
        <w:t>Additionally, the portfolio is subject to a continual, thorough monitoring and oversight process to identify any financial instruments which require increased monitoring of performance.</w:t>
      </w:r>
    </w:p>
    <w:p w14:paraId="6534521F" w14:textId="77777777" w:rsidR="0016134C" w:rsidRDefault="00000000">
      <w:r>
        <w:t>Focus no immediate prospect that a credit loss will ultimately be suffered, but worthy of close credit oversight.</w:t>
      </w:r>
    </w:p>
    <w:p w14:paraId="233F6DE5" w14:textId="77777777" w:rsidR="0016134C" w:rsidRDefault="00000000">
      <w:r>
        <w:t>The line item “Net remeasurement of ECL arising from stage transfers and changes in risk parameters, including climate risk” represents the increase or decrease in credit loss allowances due to modified measurement basis from 12-month to lifetime in relation to stage transfers.</w:t>
      </w:r>
    </w:p>
    <w:p w14:paraId="53679C9E" w14:textId="77777777" w:rsidR="0016134C" w:rsidRDefault="00000000">
      <w:r>
        <w:t>Overlays should be supported by adequately documented processes and subject to strict governance oversight.</w:t>
      </w:r>
    </w:p>
    <w:p w14:paraId="48F03C9A" w14:textId="77777777" w:rsidR="0016134C" w:rsidRDefault="00000000">
      <w:r>
        <w:t>As at 31 December 2024, the increase in expected credit losses recognised in relation to climate risk was not deemed material to warrant further disclosures.</w:t>
      </w:r>
    </w:p>
    <w:p w14:paraId="4351CCAB" w14:textId="77777777" w:rsidR="0016134C" w:rsidRDefault="00000000">
      <w:r>
        <w:t>Group ALCO provides oversight and ensures that decisions taken at Belgium ALCO are aligned to the interests of the Group.</w:t>
      </w:r>
    </w:p>
    <w:p w14:paraId="3425851A" w14:textId="77777777" w:rsidR="0016134C" w:rsidRDefault="00000000">
      <w:r>
        <w:t>In addition, it is responsible for recommending to the Board an appropriate liquidity and funding risk appetite and for approving liquidity risk-related policies and recommendations.</w:t>
      </w:r>
    </w:p>
    <w:p w14:paraId="1E700D24" w14:textId="77777777" w:rsidR="0016134C" w:rsidRDefault="00000000">
      <w:r>
        <w:lastRenderedPageBreak/>
        <w:t>Under the leadership of the Group CRO, it is responsible for ensuring that all significant risks relating to liquidity are properly identified and clearly incorporated into the Group’s risk management and reporting framework.</w:t>
      </w:r>
    </w:p>
    <w:p w14:paraId="4BB4D79F" w14:textId="77777777" w:rsidR="0016134C" w:rsidRDefault="00000000">
      <w:r>
        <w:t>Effective market risk management is crucial to ensure the Group remains resilient in the face of volatile market conditions.</w:t>
      </w:r>
    </w:p>
    <w:p w14:paraId="73C0DBC8" w14:textId="77777777" w:rsidR="0016134C" w:rsidRDefault="00000000">
      <w:r>
        <w:t>Oversight is provided by the Group’s Asset and Liability Committee and the Board Risk and Compliance Committee, as outlined in the Group’s policies on Foreign Exchange Risk and Interest Rate Risk and Credit Spread Risk in the Banking Book IRRBB &amp; CSRBB.</w:t>
      </w:r>
    </w:p>
    <w:p w14:paraId="48BC6C82" w14:textId="77777777" w:rsidR="0016134C" w:rsidRDefault="00000000">
      <w:r>
        <w:t>In view of the Group’s policy for managing currency risk, the Board does not deem necessary the presentation of a sensitivity analysis disclosing how profit or loss and equity would have been affected by changes in foreign exchange rates that were reasonably possible at the end of the reporting year.</w:t>
      </w:r>
    </w:p>
    <w:p w14:paraId="7F9BA3CB" w14:textId="77777777" w:rsidR="0016134C" w:rsidRDefault="00000000">
      <w:r>
        <w:t>This team is tasked with establishing risk limits, monitoring adherence to these limits, and providing oversight to ensure risks are managed in line with the Group’s and MeDirect Belgium’s IRRBB policy.</w:t>
      </w:r>
    </w:p>
    <w:p w14:paraId="10E7AA85" w14:textId="77777777" w:rsidR="0016134C" w:rsidRDefault="00000000">
      <w:r>
        <w:t>The monitoring and reporting activities are subject to oversight at various governance levels.</w:t>
      </w:r>
    </w:p>
    <w:p w14:paraId="228568E4" w14:textId="77777777" w:rsidR="0016134C" w:rsidRDefault="00000000">
      <w:r>
        <w:t>Operational Risk Management ensures that the Group’s risk appetite for operational risk is translated in a form that can be implemented and managed in practice.</w:t>
      </w:r>
    </w:p>
    <w:p w14:paraId="7315AB9F" w14:textId="77777777" w:rsidR="0016134C" w:rsidRDefault="00000000">
      <w:r>
        <w:t>Operational Risk Management aim to develop KRIs that allow for the monitoring of internal controls factors associated with significant risks.</w:t>
      </w:r>
    </w:p>
    <w:p w14:paraId="2165E6D4" w14:textId="77777777" w:rsidR="0016134C" w:rsidRDefault="00000000">
      <w:r>
        <w:t>Material risks and breaches are escalated to the Group’s governing bodies, such as Executive Committee and Board Committee, which serve as medium to ensure that corrective action plans are in place to mitigate significant risks and avoid reoccurrence of events impacting the Group’s operations.</w:t>
      </w:r>
    </w:p>
    <w:p w14:paraId="5D55146D" w14:textId="77777777" w:rsidR="0016134C" w:rsidRDefault="00000000">
      <w:r>
        <w:t>Operational risks are reported through the Monthly Group Risk Management Report, Incident Reporting, Internal Control Report and the annual lCAAP.</w:t>
      </w:r>
    </w:p>
    <w:p w14:paraId="23FD8965" w14:textId="77777777" w:rsidR="0016134C" w:rsidRDefault="00000000">
      <w:r>
        <w:t>Operational Risk Management is also responsible to ensure that the Group has contingencies in the event of business disruption.</w:t>
      </w:r>
    </w:p>
    <w:p w14:paraId="508C9B77" w14:textId="77777777" w:rsidR="0016134C" w:rsidRDefault="00000000">
      <w:r>
        <w:t>The ICT Security function, led by the CISO manages the Group ICT and Security Risk management framework.</w:t>
      </w:r>
    </w:p>
    <w:p w14:paraId="3D3511C7" w14:textId="77777777" w:rsidR="0016134C" w:rsidRDefault="00000000">
      <w:r>
        <w:t>The Framework documents the Group’s approach to managing ICT risks and is reviewed and approved annually by the Board.</w:t>
      </w:r>
    </w:p>
    <w:p w14:paraId="37F7C833" w14:textId="77777777" w:rsidR="0016134C" w:rsidRDefault="00000000">
      <w:r>
        <w:lastRenderedPageBreak/>
        <w:t>The Board structure enables the Group to coordinate its CER/ESG policies and procedures to ensure consistency on matters affecting all entities within the Group across all jurisdictions including Malta, Belgium, UK and the Netherlands.</w:t>
      </w:r>
    </w:p>
    <w:p w14:paraId="37C81C40" w14:textId="77777777" w:rsidR="0016134C" w:rsidRDefault="00000000">
      <w:r>
        <w:t>By setting the ESG agenda at the parent level, the Board ensures a common ESG strategic framework which can be deployed and implemented across the Group, including at the subsidiary level.</w:t>
      </w:r>
    </w:p>
    <w:p w14:paraId="12F0A748" w14:textId="77777777" w:rsidR="0016134C" w:rsidRDefault="00000000">
      <w:r>
        <w:t>The Internal Audit function is a permanent invitee to the Committee as an observer in order to maintain its independent status.</w:t>
      </w:r>
    </w:p>
    <w:p w14:paraId="354E3B71" w14:textId="77777777" w:rsidR="0016134C" w:rsidRDefault="00000000">
      <w:r>
        <w:t>Moreover, the Group incorporated CER across the three lines of defence “LoD” by updating business procedures and policies, the risk management framework, risk appetite, stress testing, compliance monitoring plans and internal audit plan.</w:t>
      </w:r>
    </w:p>
    <w:p w14:paraId="154B2011" w14:textId="77777777" w:rsidR="0016134C" w:rsidRDefault="00000000">
      <w:r>
        <w:t>The front-line business is responsible for identifying, assessing and managing sustainability risks within their specific operations and for incorporating the management of such risks in the various stages of their business processes including, amongst others, the credit process, the wealth process and the procurement process.</w:t>
      </w:r>
    </w:p>
    <w:p w14:paraId="7E19E09F" w14:textId="77777777" w:rsidR="0016134C" w:rsidRDefault="00000000">
      <w:r>
        <w:t>The Risk Management function is responsible for developing and tracking a dashboard of relevant CER/ESG risk indicators, stress test and limits within the existing risk reporting frameworks of the Group, with continuous enhancement over time.</w:t>
      </w:r>
    </w:p>
    <w:p w14:paraId="41CB39A9" w14:textId="77777777" w:rsidR="0016134C" w:rsidRDefault="00000000">
      <w:r>
        <w:t>MeDirect Sustainability Risk Policy outlines the Group’s approach on integrating and managing sustainability risks in the Group’s main processes including credit, wealth, procurement, remuneration and governance processes.</w:t>
      </w:r>
    </w:p>
    <w:p w14:paraId="2C6FD2A6" w14:textId="77777777" w:rsidR="0016134C" w:rsidRDefault="00000000">
      <w:r>
        <w:t>During 2024, MeDirect has enhanced its ESG risk process by the integration of a dedicated Sustainability Risk Appetite Statement outlining the commitments and key risk indicators for each element within ESG.</w:t>
      </w:r>
    </w:p>
    <w:p w14:paraId="58F1045E" w14:textId="77777777" w:rsidR="0016134C" w:rsidRDefault="00000000">
      <w:r>
        <w:t>In 2024, Regulatory Compliance took over the responsibility of the Regulatory Horizon Scanning, where it monitors all incoming regulatory and legislative changes, including sustainability-related regulations.</w:t>
      </w:r>
    </w:p>
    <w:p w14:paraId="314170BA" w14:textId="77777777" w:rsidR="0016134C" w:rsidRDefault="00000000">
      <w:r>
        <w:t>In this context, the IAF considers ESG governance as a separate audit topic in its multi-year audit plan and embeds ESG/CER where relevant as a specific attention point in the audit scope and approach for specific business activity, support process and control function reviews.</w:t>
      </w:r>
    </w:p>
    <w:p w14:paraId="368E5C99" w14:textId="77777777" w:rsidR="0016134C" w:rsidRDefault="00000000">
      <w:r>
        <w:t>In its revision of the ESG Strategy, the Group revised its limit of exposure to sectors highly contributing to climate change and included new commitments.</w:t>
      </w:r>
    </w:p>
    <w:p w14:paraId="0E8328EF" w14:textId="77777777" w:rsidR="0016134C" w:rsidRDefault="00000000">
      <w:r>
        <w:t>Additionally, a sub-strategy was adopted in relation to the transition towards decarbonisation and climate neutrality of the Group by 2050.</w:t>
      </w:r>
    </w:p>
    <w:p w14:paraId="58C61A03" w14:textId="77777777" w:rsidR="0016134C" w:rsidRDefault="00000000">
      <w:r>
        <w:lastRenderedPageBreak/>
        <w:t>Additional commitments relating to employees and society were adopted, including the equal pay gap monitoring, the selection of one or more ESG Champions selected through ESG hackathons, the implementation of a two-way communication system between the employees and HR representatives, compliance with the European Accessibility Act “EAA” principles and the implementation of career plans and personal development plans for employees.</w:t>
      </w:r>
    </w:p>
    <w:p w14:paraId="42E0BFFA" w14:textId="77777777" w:rsidR="0016134C" w:rsidRDefault="00000000">
      <w:r>
        <w:t>During 2024, the Risk and appropriate Business functions continue to adopt hard risk appetite limits into its Risk Appetite Statements for all lending portfolios linked to physical and/or transition climate risks, such as high flood risk and high sea-level increase risk regions, poor EPC scoring yearly energy efficiency of the mortgaged properties, sectors highly contributing to climate change, and exclusion sectoral lists.</w:t>
      </w:r>
    </w:p>
    <w:p w14:paraId="4331C053" w14:textId="77777777" w:rsidR="0016134C" w:rsidRDefault="00000000">
      <w:r>
        <w:t>The assessment included all on-balance sheet elements and off-balance sheet elements, covering physical risks floods/fluvial, sea level risk, drought/external heat, forest fire/wildfire, biodiversity loss, water stress and transition risks policy/regulations, stranding risk, market sentiment, technology change including high-level impact horizons 149 Annual Report and Financial Statements 2024 short, medium and long-term.</w:t>
      </w:r>
    </w:p>
    <w:p w14:paraId="66ABF635" w14:textId="77777777" w:rsidR="0016134C" w:rsidRDefault="00000000">
      <w:r>
        <w:t>The direct impact of MeDirect operation is not material as the Group mainly operates in digital channels and its greenhouse gas emissions and resources consumption are limited.</w:t>
      </w:r>
    </w:p>
    <w:p w14:paraId="6E114916" w14:textId="77777777" w:rsidR="0016134C" w:rsidRDefault="00000000">
      <w:r>
        <w:t>The impact is mainly indirect through financing clients from the sectors highly contributing to the climate change or through green financing.</w:t>
      </w:r>
    </w:p>
    <w:p w14:paraId="282DB82C" w14:textId="77777777" w:rsidR="0016134C" w:rsidRDefault="00000000">
      <w:r>
        <w:t>The Group complies with the provisions of the CRR in respect of regulatory capital and it applies the standardised approach for credit risk.</w:t>
      </w:r>
    </w:p>
    <w:p w14:paraId="7CFF281A" w14:textId="77777777" w:rsidR="0016134C" w:rsidRDefault="00000000">
      <w:r>
        <w:t>As disclosed in the remuneration report, share-based payments are granted to certain executive directors and other material risk takers under a performance or retention bonus plan, where they are entitled to share-linked instruments, subject to a deferral period not greater than five years, the value of which is based on changes in the fair value of the ordinary shares of MDB Group Limited but which are settled in cash and hence do not entitle the employees to shares or any interest in or right over such shares.</w:t>
      </w:r>
    </w:p>
    <w:p w14:paraId="63B26F85" w14:textId="77777777" w:rsidR="0016134C" w:rsidRDefault="00000000">
      <w:r>
        <w:t>Key Management Personnel compensation consisting of Directors’ remuneration is disclosed in Note 28.</w:t>
      </w:r>
    </w:p>
    <w:sectPr w:rsidR="001613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761103760">
    <w:abstractNumId w:val="8"/>
  </w:num>
  <w:num w:numId="2" w16cid:durableId="576866238">
    <w:abstractNumId w:val="6"/>
  </w:num>
  <w:num w:numId="3" w16cid:durableId="1038772860">
    <w:abstractNumId w:val="5"/>
  </w:num>
  <w:num w:numId="4" w16cid:durableId="1601377866">
    <w:abstractNumId w:val="4"/>
  </w:num>
  <w:num w:numId="5" w16cid:durableId="85808397">
    <w:abstractNumId w:val="7"/>
  </w:num>
  <w:num w:numId="6" w16cid:durableId="1496069567">
    <w:abstractNumId w:val="3"/>
  </w:num>
  <w:num w:numId="7" w16cid:durableId="1229343930">
    <w:abstractNumId w:val="2"/>
  </w:num>
  <w:num w:numId="8" w16cid:durableId="1074011178">
    <w:abstractNumId w:val="1"/>
  </w:num>
  <w:num w:numId="9" w16cid:durableId="920213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34C"/>
    <w:rsid w:val="0029639D"/>
    <w:rsid w:val="00326F90"/>
    <w:rsid w:val="005E7043"/>
    <w:rsid w:val="006D65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2A573"/>
  <w14:defaultImageDpi w14:val="300"/>
  <w15:docId w15:val="{09875724-9D0E-9A4D-9EA8-55F97D78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4455</Words>
  <Characters>25397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2025-07-31T20:49:00Z</dcterms:modified>
  <cp:category/>
</cp:coreProperties>
</file>