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40836" w14:textId="6BE01587" w:rsidR="00B84187" w:rsidRDefault="00000000">
      <w:r>
        <w:t>Pillar 3 market discipline</w:t>
      </w:r>
      <w:r w:rsidR="007B01D6">
        <w:t xml:space="preserve"> </w:t>
      </w:r>
      <w:r>
        <w:t>requires banks to publish a range of qualitative and quantitative disclosures to the market aimed at providing further insight on the capital structure, capital adequacy and risk management practices.</w:t>
      </w:r>
    </w:p>
    <w:p w14:paraId="580BF208" w14:textId="312A75DE" w:rsidR="00B84187" w:rsidRDefault="00000000">
      <w:r>
        <w:t>At a consolidated Group level, capital is calculated for prudential regulatory reporting purposes using the Basel III framework of the Basel Committee on Banking Supervision Basel, as implemented by the European Union EU in the revisions to the CRR.</w:t>
      </w:r>
    </w:p>
    <w:p w14:paraId="5D5104C1" w14:textId="77777777" w:rsidR="00B84187" w:rsidRDefault="00000000">
      <w:r>
        <w:t>The new ITS aims to reinforce market discipline, by increasing consistency and comparability of institutions' public disclosures, and to implement the CRR regulatory changes in alignment with the revised Basel Pillar 3 standards.</w:t>
      </w:r>
    </w:p>
    <w:p w14:paraId="083056E1" w14:textId="77777777" w:rsidR="00B84187" w:rsidRDefault="00000000">
      <w:r>
        <w:t>In line with regulatory requirements and the Group’s policy, the Pillar 3 Disclosures are published on the Group’s website within a reasonable period after the publication of the Group’s annual Financial Statements.</w:t>
      </w:r>
    </w:p>
    <w:p w14:paraId="4181A565" w14:textId="77777777" w:rsidR="00B84187" w:rsidRDefault="00000000">
      <w:r>
        <w:t>However, these Disclosures have been appropriately verified and approved internally by the Group’s management and reasonable assurance has been provided by the IAF as required by the Group’s Pillar 3 Disclosures Policy, including the review and approval of these disclosures by the Group Audit Committee.</w:t>
      </w:r>
    </w:p>
    <w:p w14:paraId="25B2DB40" w14:textId="44F89E24" w:rsidR="00B84187" w:rsidRDefault="00000000">
      <w:r>
        <w:t xml:space="preserve">The Group operates within the three Lines of </w:t>
      </w:r>
      <w:proofErr w:type="spellStart"/>
      <w:r>
        <w:t>Defence</w:t>
      </w:r>
      <w:proofErr w:type="spellEnd"/>
      <w:r>
        <w:t xml:space="preserve"> LOD’ model as a core part of its approach to risk management.</w:t>
      </w:r>
    </w:p>
    <w:p w14:paraId="5991EBA2" w14:textId="77777777" w:rsidR="00B84187" w:rsidRDefault="00000000">
      <w:r>
        <w:t>The risk strategy of the Group evolves around the following objectives, , RISK STRATEGY In addition, the 2023 Risk Strategy put special focus on the following key elements, Ensure full remediation of all regulatory and audit findings.</w:t>
      </w:r>
    </w:p>
    <w:p w14:paraId="4E098755" w14:textId="77777777" w:rsidR="00B84187" w:rsidRDefault="00000000">
      <w:r>
        <w:t>The risk strategy as approved by the Group Board is also communicated to the subsidiaries of the Group.</w:t>
      </w:r>
    </w:p>
    <w:p w14:paraId="5E99ADC8" w14:textId="10D7926A" w:rsidR="00B84187" w:rsidRDefault="00000000">
      <w:r>
        <w:t>The governance processes are primarily described and documented in the following documents, The Risk Management Framework RMF.</w:t>
      </w:r>
    </w:p>
    <w:p w14:paraId="48ACACB2" w14:textId="77777777" w:rsidR="00B84187" w:rsidRDefault="00000000">
      <w:r>
        <w:t>Ensuring that the risk management function is adequately resourced, taking into account the complexity and risks of the Group and Belgian Bank as well as their RAF and strategy.</w:t>
      </w:r>
    </w:p>
    <w:p w14:paraId="2369F6BE" w14:textId="77777777" w:rsidR="00B84187" w:rsidRDefault="00000000">
      <w:r>
        <w:t>The function is also responsible for management of capital and liquidity risk policies, and for the development and maintenance of risk measurement tools and models, in particular those used for stress testing purposes.</w:t>
      </w:r>
    </w:p>
    <w:p w14:paraId="332B94D7" w14:textId="77777777" w:rsidR="00B84187" w:rsidRDefault="00000000">
      <w:r>
        <w:t>The team is responsible for key internal capital and liquidity risk management documents, specifically the Group’s ICAAP, ILAAP and Recovery Plan.</w:t>
      </w:r>
    </w:p>
    <w:p w14:paraId="29F9D054" w14:textId="77777777" w:rsidR="00B84187" w:rsidRDefault="00000000">
      <w:r>
        <w:t>It is responsible for leading the ongoing development of market risk models including model design, calibration, stress testing and shock analysis of both earnings and income related interest rate risk scenarios, risk reporting and related model governance.</w:t>
      </w:r>
    </w:p>
    <w:p w14:paraId="6FB9E048" w14:textId="77777777" w:rsidR="00B84187" w:rsidRDefault="00000000">
      <w:r>
        <w:lastRenderedPageBreak/>
        <w:t>Its main focus includes the development of the IRRBB framework, stress testing methodologies, scenario assumptions and market risk capital utilisation.</w:t>
      </w:r>
    </w:p>
    <w:p w14:paraId="48DE2C15" w14:textId="77777777" w:rsidR="00B84187" w:rsidRDefault="00000000">
      <w:r>
        <w:t>The credit risk function based in Belgium is also responsible for the oversight of the Dutch mortgages owner occupied and Buy-to-Let and Belgium mortgages related credit risk.</w:t>
      </w:r>
    </w:p>
    <w:p w14:paraId="0E4DFA1F" w14:textId="77777777" w:rsidR="00B84187" w:rsidRDefault="00000000">
      <w:r>
        <w:t>This function also supports the Group in other key risk deliverables such as the Group’s ICAAP, ILAAP and Recovery Plan, Risk Appetite and Internal Controls Reporting.</w:t>
      </w:r>
    </w:p>
    <w:p w14:paraId="60813E97" w14:textId="77777777" w:rsidR="00B84187" w:rsidRDefault="00000000">
      <w:r>
        <w:t>The IT Security function also carries out security reviews to ensure that the Group is in line with the IT Security policy requirements, delivers information security awareness and liaises with both internal and external auditors and regulatory bodies where necessary.</w:t>
      </w:r>
    </w:p>
    <w:p w14:paraId="594B240F" w14:textId="77777777" w:rsidR="00B84187" w:rsidRDefault="00000000">
      <w:r>
        <w:t>The Group has in place a RAF that outlines the overall approach, governance processes, controls and systems through which risk appetite, risk limits and thresholds are established, communicated and monitored.</w:t>
      </w:r>
    </w:p>
    <w:p w14:paraId="32B3414C" w14:textId="77777777" w:rsidR="00B84187" w:rsidRDefault="00000000">
      <w:r>
        <w:t>In all circumstances, the Group sets its RALs within its Risk capacity, meaning it limits its appetite within the maximum level of risk the Group is able to assume given its capital base, its risk management and control capabilities, and its regulatory constraints.</w:t>
      </w:r>
    </w:p>
    <w:p w14:paraId="21DCBF07" w14:textId="77777777" w:rsidR="00B84187" w:rsidRDefault="00000000">
      <w:r>
        <w:t>The risk reporting for MeDirect Belgium is conducted jointly by the Group and MeDirect Belgium’s Risk Management functions with oversight and direction from the MeDirect Belgium’s CRO.</w:t>
      </w:r>
    </w:p>
    <w:p w14:paraId="2C992EC9" w14:textId="77777777" w:rsidR="00B84187" w:rsidRDefault="00000000">
      <w:r>
        <w:t>The Group’s risk reporting framework includes various risk management reports.</w:t>
      </w:r>
    </w:p>
    <w:p w14:paraId="0BA49430" w14:textId="77777777" w:rsidR="00B84187" w:rsidRDefault="00000000">
      <w:r>
        <w:t>Where possible, the Group incorporates trended analysis into its risk reports, both to draw attention to the evolution of themes in the portfolio’s risk profile and to increase confidence in the integrity of the information shown.</w:t>
      </w:r>
    </w:p>
    <w:p w14:paraId="43D5ADA2" w14:textId="77777777" w:rsidR="00B84187" w:rsidRDefault="00000000">
      <w:r>
        <w:t>This commentary is also supported by a much more detailed report, the Group risk management report.</w:t>
      </w:r>
    </w:p>
    <w:p w14:paraId="77730287" w14:textId="77777777" w:rsidR="00B84187" w:rsidRDefault="00000000">
      <w:r>
        <w:t>The risk management reports are mainly divided into two sections, Risk Shaping Matters and Risk Oversight.</w:t>
      </w:r>
    </w:p>
    <w:p w14:paraId="1234FDB7" w14:textId="77777777" w:rsidR="00B84187" w:rsidRDefault="00000000">
      <w:r>
        <w:t>For this purpose, a.</w:t>
      </w:r>
    </w:p>
    <w:p w14:paraId="15F614F3" w14:textId="77777777" w:rsidR="00B84187" w:rsidRDefault="00000000">
      <w:r>
        <w:t>Dashboard is presented in the Group risk management report, but on a quarterly basis, with the intention of evolving the KRIs into hard RALs during 2024.</w:t>
      </w:r>
    </w:p>
    <w:p w14:paraId="1C8E5BFC" w14:textId="77777777" w:rsidR="00B84187" w:rsidRDefault="00000000">
      <w:r>
        <w:t>This analysis is presented to the Board of Directors on a quarterly basis whereby ratios or elements requiring special focus, are highlighted by the CRO as required.</w:t>
      </w:r>
    </w:p>
    <w:p w14:paraId="1C6BA4BF" w14:textId="77777777" w:rsidR="00B84187" w:rsidRDefault="00000000">
      <w:r>
        <w:t>The Group is aware that instilling a risk culture is key to delivering sustainable growth and profitability, and strives to continuously improve its risk culture through policies, communication and training of staff, which is done through a number of initiatives.</w:t>
      </w:r>
    </w:p>
    <w:p w14:paraId="689BF0D3" w14:textId="77777777" w:rsidR="00B84187" w:rsidRDefault="00000000">
      <w:r>
        <w:lastRenderedPageBreak/>
        <w:t>Breaches of any of the risk policies are reported to the Committee that oversees the policy such as MCC or ALCO, with the possibility of escalation to Board Committees as outlined in the respective policies.</w:t>
      </w:r>
    </w:p>
    <w:p w14:paraId="4172CCC2" w14:textId="77777777" w:rsidR="00B84187" w:rsidRDefault="00000000">
      <w:r>
        <w:t>Reverse stress testing is used as a regular risk management tool in order to improve the awareness of current and potential vulnerabilities faced by the Group.</w:t>
      </w:r>
    </w:p>
    <w:p w14:paraId="6C25FCD9" w14:textId="77777777" w:rsidR="00B84187" w:rsidRDefault="00000000">
      <w:r>
        <w:t>Reverse stress tests are also used as part of the Group’s business planning and risk management to understand the viability and sustainability of the Group’s business model and strategy.</w:t>
      </w:r>
    </w:p>
    <w:p w14:paraId="086210E3" w14:textId="77777777" w:rsidR="00B84187" w:rsidRDefault="00000000">
      <w:r>
        <w:t>The Board of Directors, either directly or through its Committees, ensure that decision-making is aligned with the Group’s strategies and risk appetite.</w:t>
      </w:r>
    </w:p>
    <w:p w14:paraId="352E9847" w14:textId="77777777" w:rsidR="00B84187" w:rsidRDefault="00000000">
      <w:r>
        <w:t>The Board of Directors approve key policies, business and sustainability strategy and risk appetite.</w:t>
      </w:r>
    </w:p>
    <w:p w14:paraId="57949E07" w14:textId="77777777" w:rsidR="00B84187" w:rsidRDefault="00000000">
      <w:r>
        <w:t>Additionally, they assess the design and effectiveness of the Bank's internal control framework and its financial reporting processes, along with both internal and external audit procedures.</w:t>
      </w:r>
    </w:p>
    <w:p w14:paraId="7B7F6242" w14:textId="77777777" w:rsidR="00B84187" w:rsidRDefault="00000000">
      <w:r>
        <w:t>The Committee is also responsible for conducting a thorough review of the Group’s risk strategy and appetite and thresholds for escalation and related controls to determine if they are comprehensive and consistent with the Group’s business strategy, sustainability goals, objectives, corporate culture and values.</w:t>
      </w:r>
    </w:p>
    <w:p w14:paraId="60E97782" w14:textId="77777777" w:rsidR="00B84187" w:rsidRDefault="00000000">
      <w:r>
        <w:t>It is also responsible for monitoring the performance of directors and ensuring that their professional development is appropriately facilitated.</w:t>
      </w:r>
    </w:p>
    <w:p w14:paraId="779AA7E4" w14:textId="77777777" w:rsidR="00B84187" w:rsidRDefault="00000000">
      <w:r>
        <w:t>The MT EXCO is responsible for the oversight of the execution and implementation of the strategy as approved by the Board.</w:t>
      </w:r>
    </w:p>
    <w:p w14:paraId="0327C4BA" w14:textId="77777777" w:rsidR="00B84187" w:rsidRDefault="00000000">
      <w:r>
        <w:t>EXCO represents the principal forum responsible for Group’s business model and regulatory environment across the different jurisdictions by managing the efficient running of operations.</w:t>
      </w:r>
    </w:p>
    <w:p w14:paraId="27B2C074" w14:textId="77777777" w:rsidR="00B84187" w:rsidRDefault="00000000">
      <w:r>
        <w:t>B Compliance team The Group’s Compliance Function has increased in size over the last three years, as well as operationally transferring transactional activities to the 1st LOD as part of the compliance strategy.</w:t>
      </w:r>
    </w:p>
    <w:p w14:paraId="0F8DF46B" w14:textId="77777777" w:rsidR="00B84187" w:rsidRDefault="00000000">
      <w:r>
        <w:t>As part of the Sustainability team, in 2023 the Group has recruited an additional resource to assist with the duties relating to sustainability resulting in a total of two resources fully engaged and responsible for Sustainability matters within the Group.</w:t>
      </w:r>
    </w:p>
    <w:p w14:paraId="53E661EB" w14:textId="77777777" w:rsidR="00B84187" w:rsidRDefault="00000000">
      <w:r>
        <w:t>The primary objective of the function is to serve as the main coordination point driving ESG/CER agenda, engaging with the MeDirect Board and interacting with the Group’s business, support, and control functions.</w:t>
      </w:r>
    </w:p>
    <w:p w14:paraId="4847654A" w14:textId="77777777" w:rsidR="00B84187" w:rsidRDefault="00000000">
      <w:r>
        <w:lastRenderedPageBreak/>
        <w:t>It is responsible for the implementation of the Group’s ESG Strategy, as well as regulatory obligations relating to Sustainability, among other responsibilities.</w:t>
      </w:r>
    </w:p>
    <w:p w14:paraId="76059774" w14:textId="77777777" w:rsidR="00B84187" w:rsidRDefault="00000000">
      <w:r>
        <w:t>Group corporate governance memorandum The key elements of the Group’s Banking entities within the Regulated Group, as described in the Group’s Corporate Governance Memorandum describe the structure, management, and transparency between the Banking entities along with a number of associated internal frameworks and key policies that support good governance practices across the Group that aligns with both national and EU law, regulations and best practices.</w:t>
      </w:r>
    </w:p>
    <w:p w14:paraId="4F903999" w14:textId="77777777" w:rsidR="00B84187" w:rsidRDefault="00000000">
      <w:r>
        <w:t>Policy standards The Group maintains a centralised policy library that offers internal stakeholders the necessary transparency to support the operational well-being of the Group.</w:t>
      </w:r>
    </w:p>
    <w:p w14:paraId="6AFE712E" w14:textId="77777777" w:rsidR="00B84187" w:rsidRDefault="00000000">
      <w:r>
        <w:t>Annual reviews are conducted to ensure that internal documents remain relevant and aligned with regulations and developments.</w:t>
      </w:r>
    </w:p>
    <w:p w14:paraId="3E48E04E" w14:textId="77777777" w:rsidR="00B84187" w:rsidRDefault="00000000">
      <w:r>
        <w:t>Other objectives are also taken into consideration, Financial reporting objectives, these relate to the preparation of reliable published Financial Statements and regulatory reporting.</w:t>
      </w:r>
    </w:p>
    <w:p w14:paraId="0CD1EE13" w14:textId="39189CFD" w:rsidR="00B84187" w:rsidRDefault="00000000">
      <w:r>
        <w:t xml:space="preserve">Credit risk management and control The Group’s lending activities are governed by the Group credit risk policy and associated credit frameworks, covering the international corporate loan portfolio, securities portfolio, AAA </w:t>
      </w:r>
      <w:proofErr w:type="spellStart"/>
      <w:r>
        <w:t>Collateralised</w:t>
      </w:r>
      <w:proofErr w:type="spellEnd"/>
      <w:r>
        <w:t xml:space="preserve"> Loan Obligation CLO investments, the Maltese Corporate lending portfolio and the Dutch, Belgian and Maltese Mortgages portfolios.</w:t>
      </w:r>
    </w:p>
    <w:p w14:paraId="6CA70B4B" w14:textId="77777777" w:rsidR="00B84187" w:rsidRDefault="00000000">
      <w:r>
        <w:t>The Group’s credit policy sets out a series of controls on how the Group mitigates its credit risk, covering, Credit governance.</w:t>
      </w:r>
    </w:p>
    <w:p w14:paraId="5F692585" w14:textId="77777777" w:rsidR="00B84187" w:rsidRDefault="00000000">
      <w:r>
        <w:t>The Group also operates with an MCC that is responsible for approving credit and investment recommendations and making other credit and investment decisions within its authority as delegated by the Board.</w:t>
      </w:r>
    </w:p>
    <w:p w14:paraId="5FD14119" w14:textId="004B5D65" w:rsidR="00B84187" w:rsidRDefault="00000000">
      <w:r>
        <w:t>MeDirect’s Oversight Programme on the service organisation supporting the Bank in the mortgage activities via HollandWoont includes the review of the International Standard on Assurance Engagements ISAE 3402 reports of the service organisation.</w:t>
      </w:r>
    </w:p>
    <w:p w14:paraId="79BB377E" w14:textId="77777777" w:rsidR="00B84187" w:rsidRDefault="00000000">
      <w:r>
        <w:t>The IAF may also, at its own discretion, seek the involvement of third party assurance providers to support any internal credit process audits and periodical portfolio review related activities.</w:t>
      </w:r>
    </w:p>
    <w:p w14:paraId="1E4CCDB1" w14:textId="77777777" w:rsidR="00B84187" w:rsidRDefault="00000000">
      <w:r>
        <w:t>Credit monitoring As part of the Group’s robust approach to credit risk management, the Group ensures that close and continuous oversight of each of its respective lending and securities portfolios is undertaken.</w:t>
      </w:r>
    </w:p>
    <w:p w14:paraId="037BCEF4" w14:textId="77777777" w:rsidR="00B84187" w:rsidRDefault="00000000">
      <w:r>
        <w:lastRenderedPageBreak/>
        <w:t>Additionally, the risk management function is responsible for overseeing that appropriate monitoring of the credit performance of each lending portfolio, including, amongst other things, monitoring portfolio risk and concentration risk, monitoring credit quality trends and provision levels and reviewing and taking appropriate action in connection with any violations of credit limits and policies.</w:t>
      </w:r>
    </w:p>
    <w:p w14:paraId="3FBF1D57" w14:textId="77777777" w:rsidR="00B84187" w:rsidRDefault="00000000">
      <w:r>
        <w:t>To support monitoring of risks associated with CLOs, the Group has several dashboards in place, including an aggregate dashboard covering 3rd party CLO investments.</w:t>
      </w:r>
    </w:p>
    <w:p w14:paraId="21D55D03" w14:textId="77777777" w:rsidR="00B84187" w:rsidRDefault="00000000">
      <w:r>
        <w:t>The Group’s oversight is primarily based on the existence of aforementioned standards, secondarily on monitoring via daily and monthly reports and thirdly on additional audit reviews by subject matter experts within the Group.</w:t>
      </w:r>
    </w:p>
    <w:p w14:paraId="115DFDBB" w14:textId="77777777" w:rsidR="00B84187" w:rsidRDefault="00000000">
      <w:r>
        <w:t>Furthermore, the oversight is based on additional reviews/audits by subject matter experts within the Group.</w:t>
      </w:r>
    </w:p>
    <w:p w14:paraId="5DDBA6E7" w14:textId="77777777" w:rsidR="00B84187" w:rsidRDefault="00000000">
      <w:r>
        <w:t>The IAF is responsible for ensuring that the Group’s credit and periodical portfolio review processes are regularly reviewed from an internal audit perspective, as part of the audit cycle plan.</w:t>
      </w:r>
    </w:p>
    <w:p w14:paraId="4E9EE00E" w14:textId="77777777" w:rsidR="00B84187" w:rsidRDefault="00000000">
      <w:r>
        <w:t>The Group’s ICAAP is aligned with regulatory requirements, as well as best commercial and governance practice, and are demonstrated through the Group’s internal reporting.</w:t>
      </w:r>
    </w:p>
    <w:p w14:paraId="400667C1" w14:textId="77777777" w:rsidR="00B84187" w:rsidRDefault="00000000">
      <w:r>
        <w:t>The Group has no appetite of breaching its MREL requirements and will hence monitor its MREL position to ensure it is able to manage MREL compliance on a forward-looking basis and ensure clear and timely communication to the resolution authority to support the Group’s resolvability.</w:t>
      </w:r>
    </w:p>
    <w:p w14:paraId="50C73BD1" w14:textId="77777777" w:rsidR="00B84187" w:rsidRDefault="00000000">
      <w:r>
        <w:t>The ALCO is responsible for the development and update of Hedging Strategy which takes into consideration the Bank’s funding and liquidity strategy.</w:t>
      </w:r>
    </w:p>
    <w:p w14:paraId="064E9F90" w14:textId="77777777" w:rsidR="00B84187" w:rsidRDefault="00000000">
      <w:r>
        <w:t>Notification and escalation processes are in place in order to ensure timely and adequate flow of information up to Committee and Board levels.</w:t>
      </w:r>
    </w:p>
    <w:p w14:paraId="114C1A9A" w14:textId="77777777" w:rsidR="00B84187" w:rsidRDefault="00000000">
      <w:r>
        <w:t>As described within the Group RMF, the Group has adopted a risk management and internal control structure, referred to as the three LOD.</w:t>
      </w:r>
    </w:p>
    <w:p w14:paraId="2FA53DC5" w14:textId="77777777" w:rsidR="00B84187" w:rsidRDefault="00000000">
      <w:r>
        <w:t>These liquidity management buffers are additionally embedded into the Liquidity and Funding RAS to ensure regular oversight is in place.</w:t>
      </w:r>
    </w:p>
    <w:p w14:paraId="713F6E67" w14:textId="77777777" w:rsidR="00B84187" w:rsidRDefault="00000000">
      <w:r>
        <w:t>These reinforce the Group’s oversight of liquidity risk, by not only focussing its risk reporting on the ‘current’ state, but also providing regular and timely reporting of the potential ‘stress’ liquidity profile of the Group.</w:t>
      </w:r>
    </w:p>
    <w:p w14:paraId="297B5C55" w14:textId="77777777" w:rsidR="00B84187" w:rsidRDefault="00000000">
      <w:r>
        <w:t>Liquidity risk governance The Group’s overall liquidity and funding position is managed in the normal course of business by its Treasury and ALM team, under the oversight of the ALCO, the MRC and the BRCC.</w:t>
      </w:r>
    </w:p>
    <w:p w14:paraId="7C91E68B" w14:textId="77777777" w:rsidR="00B84187" w:rsidRDefault="00000000">
      <w:r>
        <w:lastRenderedPageBreak/>
        <w:t>Additionally, the Risk Management Function has the responsibility of defining potential adverse liquidity scenarios that should be considered for assessing the Group’s exposure to these scenarios and for assessing the effectiveness of contingency funding plan measures.</w:t>
      </w:r>
    </w:p>
    <w:p w14:paraId="04464F25" w14:textId="77777777" w:rsidR="00B84187" w:rsidRDefault="00000000">
      <w:r>
        <w:t>Risk is also responsible for ensuring that all significant risks related to liquidity are appropriately identified and clearly incorporated in the Group’s risk management and reporting framework.</w:t>
      </w:r>
    </w:p>
    <w:p w14:paraId="18570075" w14:textId="77777777" w:rsidR="00B84187" w:rsidRDefault="00000000">
      <w:r>
        <w:t>While acknowledging that the principal liquidity ratios cover a range of time horizons from one day to one year, the Group does not solely rely on the regulatory liquidity ratios to ensure it has adequate liquidity when these ratios are above their minimum regulatory levels.</w:t>
      </w:r>
    </w:p>
    <w:p w14:paraId="5CB93CF4" w14:textId="77777777" w:rsidR="00B84187" w:rsidRDefault="00000000">
      <w:r>
        <w:t>The Group will at all times ensure that it is in full compliance with all applicable regulatory requirements.</w:t>
      </w:r>
    </w:p>
    <w:p w14:paraId="49643C2D" w14:textId="77777777" w:rsidR="00B84187" w:rsidRDefault="00000000">
      <w:r>
        <w:t>Each subsidiary manages its own capital and liquidity position in a manner consistent with its own strategy and planned business growth and with local regulatory requirements, and within the context of the group-level strategy.</w:t>
      </w:r>
    </w:p>
    <w:p w14:paraId="25655487" w14:textId="77777777" w:rsidR="00B84187" w:rsidRDefault="00000000">
      <w:r>
        <w:t>Capital or liquidity requirements that are necessary to support planned growth, rather than arising from the subsidiary’s current position, will normally be determined by the subsidiary’s Board itself as part of the subsidiary’s budgeting process.</w:t>
      </w:r>
    </w:p>
    <w:p w14:paraId="3B689224" w14:textId="77777777" w:rsidR="00B84187" w:rsidRDefault="00000000">
      <w:r>
        <w:t>If the subsidiary’s Board determines that an increase in the entity’s capital or intercompany borrowing is desirable, either to address current weakness or to support future growth, then it would request such an increase from MeDirect Malta.</w:t>
      </w:r>
    </w:p>
    <w:p w14:paraId="35BB336A" w14:textId="77777777" w:rsidR="00B84187" w:rsidRDefault="00000000">
      <w:r>
        <w:t>The KPIs are monitored and reported within the Group’s monthly financial reporting process and overseen by the Board of Directors.</w:t>
      </w:r>
    </w:p>
    <w:p w14:paraId="69B03628" w14:textId="77777777" w:rsidR="00B84187" w:rsidRDefault="00000000">
      <w:r>
        <w:t>The monitoring of these measures ensures that the business model performance is consistent with the expectations of the stakeholders.</w:t>
      </w:r>
    </w:p>
    <w:p w14:paraId="281A95C4" w14:textId="77777777" w:rsidR="00B84187" w:rsidRDefault="00000000">
      <w:r>
        <w:t>CSRBB is a risk that banks need to monitor and assess in their interest rate risk management framework.</w:t>
      </w:r>
    </w:p>
    <w:p w14:paraId="1EF05600" w14:textId="77777777" w:rsidR="00B84187" w:rsidRDefault="00000000">
      <w:r>
        <w:t>Market risk management and controls Treasury, under the oversight of the CFO, are responsible as 1st LOD for managing interest rate risk within the prevailing interest rate risk strategy as set by the ALCO, and subject to internal limits.</w:t>
      </w:r>
    </w:p>
    <w:p w14:paraId="051FF0A8" w14:textId="77777777" w:rsidR="00B84187" w:rsidRDefault="00000000">
      <w:r>
        <w:t>In addition, it must assure that IRRBB models have been reviewed and validated in line with the Group’s Model Governance Policy.</w:t>
      </w:r>
    </w:p>
    <w:p w14:paraId="3560086A" w14:textId="77777777" w:rsidR="00B84187" w:rsidRDefault="00000000">
      <w:r>
        <w:t>The objective is to keep operational risk at appropriate levels relative to the characteristics of MeDirect’s strategy, its capital and liquidity, and the competitive, economic, and regulatory environment.</w:t>
      </w:r>
    </w:p>
    <w:p w14:paraId="402FAADE" w14:textId="77777777" w:rsidR="00B84187" w:rsidRDefault="00000000">
      <w:r>
        <w:lastRenderedPageBreak/>
        <w:t>This framework is consistent with the Group’s three LOD approach to risk management.</w:t>
      </w:r>
    </w:p>
    <w:p w14:paraId="7FBAD0C0" w14:textId="77777777" w:rsidR="00B84187" w:rsidRDefault="00000000">
      <w:r>
        <w:t>To anticipate, mitigate and control operational risk, the Group maintains a system of policies and standards and has established a consistent framework for monitoring, assessing, and communicating operational risks and the overall effectiveness of the internal control environment across the Group.</w:t>
      </w:r>
    </w:p>
    <w:p w14:paraId="3CE7483E" w14:textId="77777777" w:rsidR="00B84187" w:rsidRDefault="00000000">
      <w:r>
        <w:t>The Group has taken numerous initiatives to mitigate these risks and adapt to changes in the regulatory framework, the focus being on strengthening its ability to recover from disruptive events affecting its core operations.</w:t>
      </w:r>
    </w:p>
    <w:p w14:paraId="0FCB3AFB" w14:textId="77777777" w:rsidR="00B84187" w:rsidRDefault="00000000">
      <w:r>
        <w:t>Regulatory oversight of outsourcing arrangements has become more prominent, particularly since the institution is viewed as systemically important.</w:t>
      </w:r>
    </w:p>
    <w:p w14:paraId="02A27B77" w14:textId="77777777" w:rsidR="00B84187" w:rsidRDefault="00000000">
      <w:r>
        <w:t>This risk may also arise from internal parties, where the Group fails to establish and manage adequate outsourcing arrangements, transactions or other interactions with service providers within the Group, for example, failure to meet agreed quality of service levels, inadequate contracting, poor relationship governance and service provider failure.</w:t>
      </w:r>
    </w:p>
    <w:p w14:paraId="2E673443" w14:textId="77777777" w:rsidR="00B84187" w:rsidRDefault="00000000">
      <w:r>
        <w:t>The Group’s outsourcing policy provides guidelines in line with regulatory requirements, which amongst other things, defines responsibilities and what activities can be outsourced.</w:t>
      </w:r>
    </w:p>
    <w:p w14:paraId="484CB260" w14:textId="77777777" w:rsidR="00B84187" w:rsidRDefault="00000000">
      <w:r>
        <w:t>It also includes remuneration considerations, such as having adequate structures and engagement levels that help align the conduct of employees with the risk and strategic objectives of the Group.</w:t>
      </w:r>
    </w:p>
    <w:p w14:paraId="4163FB05" w14:textId="77777777" w:rsidR="00B84187" w:rsidRDefault="00000000">
      <w:r>
        <w:t>Inadequate or failed processes may relate to aggregation of data and reporting, inadequate or failed transaction processing including delays as well as errors, governance or general process management, financial or risk modelling, product development, product introduction, mergers and acquisitions, and the execution risk of failure to deliver change programmes or key strategic and regulatory projects.</w:t>
      </w:r>
    </w:p>
    <w:p w14:paraId="33A1C91B" w14:textId="77777777" w:rsidR="00B84187" w:rsidRDefault="00000000">
      <w:r>
        <w:t>Data and internal model risk arises from failure in a process designed to ensure data entry impacting the ability of the management to meet data standards data governance and from failures in the maintenance of, and lack of assurance of the accuracy and consistency of the data over its life-cycle data integrity.</w:t>
      </w:r>
    </w:p>
    <w:p w14:paraId="60ACE5ED" w14:textId="77777777" w:rsidR="00B84187" w:rsidRDefault="00000000">
      <w:r>
        <w:t>Additionally, data used in modelling and the governance of models presents concurrent risks related to the integrity of model construction, validation and oversight.</w:t>
      </w:r>
    </w:p>
    <w:p w14:paraId="63FD9C1F" w14:textId="77777777" w:rsidR="00B84187" w:rsidRDefault="00000000">
      <w:r>
        <w:t>This risk has gained significant importance during the past few years, in light of the rapidly changing regulatory and structural environment in recent years, where financial institutions have been obliged to make wholesale changes to strategies, processes, systems, reporting, and even the way they choose to select and maintain relationships with customers.</w:t>
      </w:r>
    </w:p>
    <w:p w14:paraId="135B481A" w14:textId="77777777" w:rsidR="00B84187" w:rsidRDefault="00000000">
      <w:r>
        <w:lastRenderedPageBreak/>
        <w:t>Operational risk control testing The primary responsibility for the development and implementation of controls to address operational risks is assigned to senior management within each business unit.</w:t>
      </w:r>
    </w:p>
    <w:p w14:paraId="2FE9C412" w14:textId="77777777" w:rsidR="00B84187" w:rsidRDefault="00000000">
      <w:r>
        <w:t>The identification and implementation of such risk mitigating measures is an ongoing process and particularly important for adequate risk management.</w:t>
      </w:r>
    </w:p>
    <w:p w14:paraId="3613A9FA" w14:textId="77777777" w:rsidR="00B84187" w:rsidRDefault="00000000">
      <w:r>
        <w:t>Continuous monitoring of the Operational Risk profile, this process aims to regularly analyse available information on the nature and extent of the risks incurred in the development of the Group's activities through an adequate alerts system, based on available tools such as indicators and escalation processes.</w:t>
      </w:r>
    </w:p>
    <w:p w14:paraId="2B6CA195" w14:textId="77777777" w:rsidR="00B84187" w:rsidRDefault="00000000">
      <w:r>
        <w:t>The Group has deployed a number of internal controls based on information security best practices to reduce technology risk across all layers, of which internal policies and qualitative RALs.</w:t>
      </w:r>
    </w:p>
    <w:p w14:paraId="017F88BB" w14:textId="77777777" w:rsidR="00B84187" w:rsidRDefault="00000000">
      <w:r>
        <w:t>High compliance standards in the banking system continue to be a source of strength and competitive advantage, as MeDirect Malta works diligently to support growth in Malta’s economy by facilitating new business.</w:t>
      </w:r>
    </w:p>
    <w:p w14:paraId="14AD18DF" w14:textId="77777777" w:rsidR="00B84187" w:rsidRDefault="00000000">
      <w:r>
        <w:t>In 2023, the Group continued to focus on embedding its financial crime risk management control framework, and sustain its capability through ongoing training, oversight and governance.</w:t>
      </w:r>
    </w:p>
    <w:p w14:paraId="4F9FD98F" w14:textId="664AAA1B" w:rsidR="00B84187" w:rsidRDefault="00000000">
      <w:r>
        <w:t xml:space="preserve">Anti-Money Laundering, Combatting Financing of Terrorism / Proliferation Financing AML/CFT and Sanctions risks </w:t>
      </w:r>
      <w:proofErr w:type="gramStart"/>
      <w:r>
        <w:t>In</w:t>
      </w:r>
      <w:proofErr w:type="gramEnd"/>
      <w:r>
        <w:t xml:space="preserve"> 2023, the Group continued to improve its AML/CFT and sanctions risk management capabilities and to integrate those capabilities into its dayto-day operations.</w:t>
      </w:r>
    </w:p>
    <w:p w14:paraId="426A3148" w14:textId="77777777" w:rsidR="00B84187" w:rsidRDefault="00000000">
      <w:r>
        <w:t>Regulatory compliance risk Apart from Financial Crime Compliance Risk, the Group also faces Regulatory Compliance Risk that it needs to monitor.</w:t>
      </w:r>
    </w:p>
    <w:p w14:paraId="7EF16FB8" w14:textId="77777777" w:rsidR="00B84187" w:rsidRDefault="00000000">
      <w:r>
        <w:t>A total of three sub-categories of regulatory risk were identified, Regulatory change risk that may result from delayed implementation of a new regulation or misinterpretation of the requirements of a new regulation or an update to existing regulation.</w:t>
      </w:r>
    </w:p>
    <w:p w14:paraId="0F57DA83" w14:textId="77777777" w:rsidR="00B84187" w:rsidRDefault="00000000">
      <w:r>
        <w:t>One of the main objectives of the Regulatory Affairs function is to oversee all regulatory changes that may apply to Group as well as to the Group’s external environment, thereby ensuring that all regulatory obligations are appropriately assessed.</w:t>
      </w:r>
    </w:p>
    <w:p w14:paraId="38668006" w14:textId="77777777" w:rsidR="00B84187" w:rsidRDefault="00000000">
      <w:r>
        <w:t>Although this risk is difficult to quantify, it may result in lost revenue, increased operating, capital or regulatory costs, or destruction of shareholder value.</w:t>
      </w:r>
    </w:p>
    <w:p w14:paraId="4F4A3501" w14:textId="77777777" w:rsidR="00B84187" w:rsidRDefault="00000000">
      <w:r>
        <w:t>Reputational risk management strategies and processes Article 435, , CRR EU OVA MeDirect seeks to ensure that reputational risk is as low as reasonably practicable.</w:t>
      </w:r>
    </w:p>
    <w:p w14:paraId="6CE0447F" w14:textId="77777777" w:rsidR="00B84187" w:rsidRDefault="00000000">
      <w:r>
        <w:lastRenderedPageBreak/>
        <w:t>Reputational risk cannot be precluded as it can be driven by unforeseeable changes in perception of our practices by our various stakeholders e.</w:t>
      </w:r>
    </w:p>
    <w:p w14:paraId="72B0B3DF" w14:textId="77777777" w:rsidR="00B84187" w:rsidRDefault="00000000">
      <w:r>
        <w:t>Public, clients, shareholders and regulators.</w:t>
      </w:r>
    </w:p>
    <w:p w14:paraId="7FF155E3" w14:textId="77777777" w:rsidR="00B84187" w:rsidRDefault="00000000">
      <w:r>
        <w:t>They also define the control and oversight standards to effectively manage reputational risks and are supported by procedures across businesses and functions.</w:t>
      </w:r>
    </w:p>
    <w:p w14:paraId="6878EA9C" w14:textId="77777777" w:rsidR="00B84187" w:rsidRDefault="00000000">
      <w:r>
        <w:t>Refer to the Statement of compliance with the principles of good corporate governance, that reports on the extent that MeDirect has adopted the Code of Principles of Corporate Governance in the December 2023 Annual Report and Financial Statements and the Non-Financial information report, that includes a description of the main policies and rules that are followed within MeDirect.</w:t>
      </w:r>
    </w:p>
    <w:p w14:paraId="01CD5A56" w14:textId="77777777" w:rsidR="00B84187" w:rsidRDefault="00000000">
      <w:r>
        <w:t>Where KRIs are implemented within the Group’s RAS, it is the responsibility of the Group’s Operational Risk Team 2nd LOD to oversee and monitor the risk levels and ensure appropriate oversight and escalation is in place.</w:t>
      </w:r>
    </w:p>
    <w:p w14:paraId="3E0F4BCA" w14:textId="77777777" w:rsidR="00B84187" w:rsidRDefault="00000000">
      <w:r>
        <w:t>The Group Board of Directors are ultimately responsible for approving and overseeing the implementation of the Group’s strategic objectives, main policies and procedures, including its ESG Strategy and CER/ESG risks and commitments that are incorporated into the Group’s wider RMF.</w:t>
      </w:r>
    </w:p>
    <w:p w14:paraId="6BDB6737" w14:textId="77777777" w:rsidR="00B84187" w:rsidRDefault="00000000">
      <w:r>
        <w:t>The Compliance Function operates independently from the business units, albeit advising and assisting the business units and other internal functions to ensure that operations are in line with policies, procedures and regulations.</w:t>
      </w:r>
    </w:p>
    <w:p w14:paraId="5B1389DD" w14:textId="77777777" w:rsidR="00B84187" w:rsidRDefault="00000000">
      <w:r>
        <w:t>In this context, the IAF when relevant embeds ESG/CER as a specific attention point in the audit scope and approach taken for specific business activity, support process and control function reviews.</w:t>
      </w:r>
    </w:p>
    <w:p w14:paraId="179CB7E2" w14:textId="368EF565" w:rsidR="00B84187" w:rsidRDefault="00000000">
      <w:r>
        <w:t>The Sustainability department acts as the main coordination point driving the ESG agenda, with the responsibility to oversee the implementation of all the commitments incorporated in the ESG Strategy 2022-2024/25 On the path to sustainability for 2022-2024/25.</w:t>
      </w:r>
    </w:p>
    <w:p w14:paraId="72470F59" w14:textId="77777777" w:rsidR="00B84187" w:rsidRDefault="00000000">
      <w:r>
        <w:t>Heat, Forest Fire / Wildfire, Biodiversity Loss, Water Stress and transition risks Policy / Regulations, Stranding Risk, Market Sentiment, Technology Change including high-level impact horizons short, medium and long.</w:t>
      </w:r>
    </w:p>
    <w:p w14:paraId="2B24B6A7" w14:textId="77777777" w:rsidR="00B84187" w:rsidRDefault="00000000">
      <w:r>
        <w:t>The direct impact of MeDirect operation is not material as the Group mainly operates in digital channels and its greenhouse gas emissions and resources consumption are limited.</w:t>
      </w:r>
    </w:p>
    <w:p w14:paraId="3A7FFF1B" w14:textId="77777777" w:rsidR="00B84187" w:rsidRDefault="00000000">
      <w:r>
        <w:t>The impact is mainly indirect through financing clients from the sectors highly contributing to the climate change or through green financing.</w:t>
      </w:r>
    </w:p>
    <w:p w14:paraId="5B6A91DD" w14:textId="77777777" w:rsidR="00B84187" w:rsidRDefault="00000000">
      <w:r>
        <w:t>The Group is committed to upholding high standards of corporate governance, sound risk management principles and business practices to achieve sustainable, long-term growth.</w:t>
      </w:r>
    </w:p>
    <w:p w14:paraId="226AAA12" w14:textId="77777777" w:rsidR="00B84187" w:rsidRDefault="00000000">
      <w:r>
        <w:lastRenderedPageBreak/>
        <w:t>The risk management practices continue to evolve and improve to enable better outcomes for all stakeholders and to consider any changes and new and emerging risks.</w:t>
      </w:r>
    </w:p>
    <w:p w14:paraId="710B45C2" w14:textId="77777777" w:rsidR="00B84187" w:rsidRDefault="00000000">
      <w:r>
        <w:t>In respect of the Dutch, Belgian and Maltese Mortgage portfolios, the key indicator of credit-impairment arises when exposures are past due by more than 90 days taking into account the materiality threshold for Retail exposures as per the EBA regulatory definition of default, with other unlikeliness to pay indicators, such as the extension of forbearance measures, also being taken into consideration.</w:t>
      </w:r>
    </w:p>
    <w:p w14:paraId="58801FC8" w14:textId="77777777" w:rsidR="00B84187" w:rsidRDefault="00000000">
      <w:r>
        <w:t>The Group’s credit framework contains enough detail specifying how the Group calculates the risk weights of the exposures covered by the framework, wherever the regulatory framework permits elections or other choices to be made.</w:t>
      </w:r>
    </w:p>
    <w:p w14:paraId="465022AF" w14:textId="3549275D" w:rsidR="00B84187" w:rsidRDefault="00000000">
      <w:r>
        <w:t xml:space="preserve">CCR exposures by model approach and development Article 439 </w:t>
      </w:r>
      <w:proofErr w:type="gramStart"/>
      <w:r>
        <w:t>f,g</w:t>
      </w:r>
      <w:proofErr w:type="gramEnd"/>
      <w:r>
        <w:t>,k CRR In order to determine the potential future credit exposure, the notional amounts or underlying values, as applicable, are multiplied by the percentages stipulated in the CRR, of Article 274</w:t>
      </w:r>
      <w:r w:rsidR="00900357">
        <w:t>.</w:t>
      </w:r>
    </w:p>
    <w:p w14:paraId="0B4F640D" w14:textId="77777777" w:rsidR="00B84187" w:rsidRDefault="00000000">
      <w:r>
        <w:t xml:space="preserve">The Group currently uses the basic indicator approach to assess the operational risk regulatory capital requirements and accordingly allocates 15% of average gross income for a </w:t>
      </w:r>
      <w:proofErr w:type="gramStart"/>
      <w:r>
        <w:t>three year</w:t>
      </w:r>
      <w:proofErr w:type="gramEnd"/>
      <w:r>
        <w:t xml:space="preserve"> period in accordance with regulatory requirements.</w:t>
      </w:r>
    </w:p>
    <w:p w14:paraId="7FBDFD58" w14:textId="77777777" w:rsidR="00B84187" w:rsidRDefault="00000000">
      <w:r>
        <w:t>Subject to MDB Group’s dividend policy, the directors of MDB Group, in the annual general meeting, may from time to time recommend dividends to be paid from the retained earnings of MDB Group Limited.</w:t>
      </w:r>
    </w:p>
    <w:p w14:paraId="36AD02C5" w14:textId="77777777" w:rsidR="00B84187" w:rsidRDefault="00000000">
      <w:r>
        <w:t>The proceeds of such Tier 2 Capital issuance were immediately delivered to MeDirect Malta through a qualifying Tier 2 loan instrument to MeDirect Malta for general corporate purposes, including to further reinforce and optimise our regulatory capital and to support the execution of our business strategy.</w:t>
      </w:r>
    </w:p>
    <w:p w14:paraId="26500554" w14:textId="77777777" w:rsidR="00B84187" w:rsidRDefault="00000000">
      <w:r>
        <w:t>Retained earnings form part of Own funds only if those profits have been verified by persons independent of the Group that are responsible for the auditing of the Group’s Financial Statements and the Group has demonstrated to the satisfaction of the competent authority that any foreseeable charge or dividend has been deducted from the amount of those profits.</w:t>
      </w:r>
    </w:p>
    <w:p w14:paraId="66E91F1C" w14:textId="77777777" w:rsidR="00B84187" w:rsidRDefault="00000000">
      <w:r>
        <w:t>The regulatory calculation approach of the securitisation framework applied by the Group being the SEC-SA approach.</w:t>
      </w:r>
    </w:p>
    <w:p w14:paraId="185B6CD6" w14:textId="77777777" w:rsidR="00B84187" w:rsidRDefault="00000000">
      <w:r>
        <w:t>They are responsible for providing a monitoring role and thus their remuneration is not performance based and is not linked to the Group’s results.</w:t>
      </w:r>
    </w:p>
    <w:p w14:paraId="066B044B" w14:textId="77777777" w:rsidR="00B84187" w:rsidRDefault="00000000">
      <w:r>
        <w:t>The Group’s remuneration practices shall ensure that no material conflict of interest arise in respect or remuneration for staff in the Group’s control functions.</w:t>
      </w:r>
    </w:p>
    <w:p w14:paraId="52906DB6" w14:textId="77777777" w:rsidR="00B84187" w:rsidRDefault="00000000">
      <w:r>
        <w:lastRenderedPageBreak/>
        <w:t>The Group’s aim is to develop an effective and efficient recruitment process that recruits the best talent, helps employees identify their potential, promotes a transparent, merit-based selection process and develops a cost effective recruitment process.</w:t>
      </w:r>
    </w:p>
    <w:p w14:paraId="09CDCF5D" w14:textId="77777777" w:rsidR="00B84187" w:rsidRDefault="00000000">
      <w:r>
        <w:t>The Group endeavours to ensure that all appointments at any level are made based on the actual knowledge, skills, expertise and merit of the individual involved, in compliance with local legislation and in adherence to the Group diversity policy.</w:t>
      </w:r>
    </w:p>
    <w:p w14:paraId="3798DA02" w14:textId="77777777" w:rsidR="00B84187" w:rsidRDefault="00000000">
      <w:r>
        <w:t>The Group’s diversity policy states that its objectives are to ensure that the Group, has a workforce profile that delivers competitive advantage through the ability to garner a deep understanding of customer needs.</w:t>
      </w:r>
    </w:p>
    <w:p w14:paraId="7DF0538B" w14:textId="77777777" w:rsidR="00B84187" w:rsidRDefault="00000000">
      <w:r>
        <w:t>To achieve these objectives the Group sets goals for achieving diversity.</w:t>
      </w:r>
    </w:p>
    <w:p w14:paraId="07C1ED04" w14:textId="77777777" w:rsidR="00B84187" w:rsidRDefault="00000000">
      <w:r>
        <w:t>The Board will, assess annually both the objectives and progress in achieving them.</w:t>
      </w:r>
    </w:p>
    <w:p w14:paraId="35AE6D1F" w14:textId="77777777" w:rsidR="00B84187" w:rsidRDefault="00000000">
      <w:r>
        <w:t>With those goals in mind, the Group aims to promote equal opportunities for all employees and to ensure that they are treated fairly and consistently.</w:t>
      </w:r>
    </w:p>
    <w:p w14:paraId="7F9D20B7" w14:textId="77777777" w:rsidR="00B84187" w:rsidRDefault="00000000">
      <w:r>
        <w:t>Search firms are engaged if necessary to ensure that the above-mentioned diversity components are fulfilled.</w:t>
      </w:r>
    </w:p>
    <w:p w14:paraId="49FD003F" w14:textId="77777777" w:rsidR="00B84187" w:rsidRDefault="00000000">
      <w:r>
        <w:t>Yes Compliance with this provision is covered by the Group’s policy.</w:t>
      </w:r>
    </w:p>
    <w:p w14:paraId="09FF3CCB" w14:textId="77777777" w:rsidR="00B84187" w:rsidRDefault="00000000">
      <w:r>
        <w:t>See also Statement of Compliance with the principles of good corporate governance of the MDB Group December 2023 Annual Report which contains information on Board composition, experience and recruitment.</w:t>
      </w:r>
    </w:p>
    <w:p w14:paraId="1FCBEB4D" w14:textId="1A78BB80" w:rsidR="00B84187" w:rsidRDefault="00000000">
      <w:r>
        <w:t>Quantitative information on transition risk and physical risk related to climate change</w:t>
      </w:r>
      <w:r w:rsidR="008B434A">
        <w:t>.</w:t>
      </w:r>
    </w:p>
    <w:p w14:paraId="6D0E9B3F" w14:textId="44DC3E38" w:rsidR="00B84187" w:rsidRDefault="00000000">
      <w:r>
        <w:t>Climate-related and environmental risks CER / C&amp;E risks Physical risk refers to the financial impact of a changing climate, including more frequent extreme weather events and gradual changes in climate, as well as of environmental degradation, such as air, water and land pollution, water stress, biodiversity loss species extinction and deforestation.</w:t>
      </w:r>
    </w:p>
    <w:p w14:paraId="6466BB84" w14:textId="77777777" w:rsidR="00B84187" w:rsidRDefault="00000000">
      <w:r>
        <w:t>Transition risk refers to an institution’s financial loss that can result, directly or indirectly, from the process of adjustment towards a lower-carbon and more environmentally sustainable economy.</w:t>
      </w:r>
    </w:p>
    <w:p w14:paraId="5434ABEA" w14:textId="77777777" w:rsidR="00B84187" w:rsidRDefault="00000000">
      <w:r>
        <w:t>This could be triggered, for example, by a relatively abrupt adoption of climate and environmental policies, technological progress or changes in market sentiment and preferences Examples, CO2/GHG emission, energy certificate labels, carbon CO2 price, taxes on emissions GHG equivalent,local taxation, additional energy certificates, state subsidies, additional capex/opex, change of customer preferences, change in asset valuation and collateral, reputation effect, change in business models, reporting, litigation risks, technology replacement, increased price of supplies e.</w:t>
      </w:r>
    </w:p>
    <w:p w14:paraId="03B41E9B" w14:textId="77777777" w:rsidR="00B84187" w:rsidRDefault="00000000">
      <w:r>
        <w:lastRenderedPageBreak/>
        <w:t>This assessment identifies which sustainability matters are most material to the organisation and its stakeholders.</w:t>
      </w:r>
    </w:p>
    <w:p w14:paraId="3006D7AF" w14:textId="77777777" w:rsidR="00B84187" w:rsidRDefault="00000000">
      <w:r>
        <w:t>CER materiality assessment The CER materiality assessment is a strategic climate and environmental impact scan that maps the main CER identified to institutions’ strategic objectives.</w:t>
      </w:r>
    </w:p>
    <w:p w14:paraId="118D10F8" w14:textId="77777777" w:rsidR="00B84187" w:rsidRDefault="00000000">
      <w:r>
        <w:t>Essentially, Scope 1 emissions are emissions that come directly from the company's activities.</w:t>
      </w:r>
    </w:p>
    <w:p w14:paraId="6BD0BD01" w14:textId="77777777" w:rsidR="00B84187" w:rsidRDefault="00000000">
      <w:r>
        <w:t>Scope 3 emissions, all other indirect emissions that occur in the company's value chain, including activities the company does not own or control.</w:t>
      </w:r>
    </w:p>
    <w:p w14:paraId="41EFB112" w14:textId="77777777" w:rsidR="00B84187" w:rsidRDefault="00000000">
      <w:r>
        <w:t>Scope 3 emissions are often the largest share of a company's carbon footprint and are crucial for understanding the full environmental impact beyond direct operations.</w:t>
      </w:r>
    </w:p>
    <w:p w14:paraId="2368D3FC" w14:textId="77777777" w:rsidR="00B84187" w:rsidRDefault="00000000">
      <w:r>
        <w:t>It is a harmonised accounting approach that provides financial institutions with the starting point required to set science-based targets and align their portfolio with the Paris Climate Agreement.</w:t>
      </w:r>
    </w:p>
    <w:p w14:paraId="0799393A" w14:textId="77777777" w:rsidR="00B84187" w:rsidRDefault="00000000">
      <w:r>
        <w:t>In 2023/4, a sample of European banks were in scope of the one-off Fit-for-55 climate risk scenario analysis that aimed at assessing the resilience of the financial sector in line with the Fit-for-55 package, and to gain insights into the capacity of the financial system to support the transition to a lower carbon economy under conditions of stress.</w:t>
      </w:r>
    </w:p>
    <w:p w14:paraId="1C350EE9" w14:textId="77777777" w:rsidR="00B84187" w:rsidRDefault="00000000">
      <w:r>
        <w:t>It provides recommendations on the types of information that companies should disclose to support investors, lenders and insurance underwriters in appropriately assessing and pricing risks related to climate change.</w:t>
      </w:r>
    </w:p>
    <w:p w14:paraId="3A89B3E5" w14:textId="3F417784" w:rsidR="00B84187" w:rsidRDefault="00000000">
      <w:r>
        <w:t>For an activity to be considered taxonomy eligible, it must align with environmental objectives such as climate change mitigation, 6 MDB GROUP LIMITED Pillar 3 disclosures report ESG 31 December 2023 adaptation, sustainable water use, circular economy practices, pollution prevention, and biodiversity protection.</w:t>
      </w:r>
    </w:p>
    <w:p w14:paraId="4FC73B52" w14:textId="77777777" w:rsidR="00B84187" w:rsidRDefault="00000000">
      <w:r>
        <w:t>Taxonomy Aligned Activities, eligible economic activities that not only meet the criteria for sustainability but also make a substantial positive impact on at least one environmental objective while avoiding significant harm to others.</w:t>
      </w:r>
    </w:p>
    <w:p w14:paraId="293B9E8B" w14:textId="77777777" w:rsidR="00B84187" w:rsidRDefault="00000000">
      <w:r>
        <w:t>To ensure proper and sustainable business conduct, the Group focuses on skills and development of all employees, as well as yearly training programmes for employees and Board of Directors.</w:t>
      </w:r>
    </w:p>
    <w:p w14:paraId="6F3E0798" w14:textId="77777777" w:rsidR="00B84187" w:rsidRDefault="00000000">
      <w:r>
        <w:t>ESG risk factors include the following, Environmental, climate change risks/opportunities, air pollution, ecosystem change, unsustainable practices, environmental remediation, carbon emissions, resource depletion, energy inefficiency, water pollution, increased water scarcity, harm to biodiversity, deforestation, poor waste management practices, rising sea levels/coastal flooding and wildfires/bushfires.</w:t>
      </w:r>
    </w:p>
    <w:p w14:paraId="39B64EE6" w14:textId="77777777" w:rsidR="00B84187" w:rsidRDefault="00000000">
      <w:r>
        <w:lastRenderedPageBreak/>
        <w:t>Group ESG Strategy On the path to sustainability MeDirect monitors evolving ESG trends as part of the horizon scanning process, and performs a double materiality assessment by considering the potential impact of the Group’s operations on ESG matters inside-out and the potential financial and non-financial impact of ESG risks on the Group's operations and activities outside-in.</w:t>
      </w:r>
    </w:p>
    <w:p w14:paraId="21FDB0FD" w14:textId="77777777" w:rsidR="00B84187" w:rsidRDefault="00000000">
      <w:r>
        <w:t>MeDirect is currently implementing the Group ESG Strategy On the path to sustainability for 2022-2024/25 that is based on four strategy pillars.</w:t>
      </w:r>
    </w:p>
    <w:p w14:paraId="1C7B8ED0" w14:textId="77777777" w:rsidR="00B84187" w:rsidRDefault="00000000">
      <w:r>
        <w:t>As part of its pursuit of sustainability objectives, MeDirect is committed to continue making ESG factors key components of its decision-making processes and internal organisation.</w:t>
      </w:r>
    </w:p>
    <w:p w14:paraId="4B227E2E" w14:textId="77777777" w:rsidR="00B84187" w:rsidRDefault="00000000">
      <w:r>
        <w:t>International Recognition Market recognition of the ESG efforts is an important reflection of the quality of the Group’s sustainability practices and implementation of the ESG Strategy.</w:t>
      </w:r>
    </w:p>
    <w:p w14:paraId="054F8288" w14:textId="77777777" w:rsidR="00B84187" w:rsidRDefault="00000000">
      <w:r>
        <w:t>MeDirect’s goal is to further enhance its sustainability rating through implementation of its ESG strategy.</w:t>
      </w:r>
    </w:p>
    <w:p w14:paraId="564F4A63" w14:textId="77777777" w:rsidR="00B84187" w:rsidRDefault="00000000">
      <w:r>
        <w:t>Starting from 2022, the Group continued to improve its sustainability rating score year on year, moving from a Silver medal rating in 2022 and 2023 to a Platinum medal rating in 2024, providing clear evidence of the Group’s success in implementing its ESG strategy.</w:t>
      </w:r>
    </w:p>
    <w:p w14:paraId="3AE58D89" w14:textId="77777777" w:rsidR="00B84187" w:rsidRDefault="00000000">
      <w:r>
        <w:t>For more information, refer to the Sustainability Risk Policy that is published on the bank’s website.</w:t>
      </w:r>
    </w:p>
    <w:p w14:paraId="137384E2" w14:textId="77777777" w:rsidR="00B84187" w:rsidRDefault="00000000">
      <w:r>
        <w:t>The Group is actively working to support the transition to a low-carbon business and to achieve its climate targets.</w:t>
      </w:r>
    </w:p>
    <w:p w14:paraId="51BD89D9" w14:textId="504BD185" w:rsidR="00B84187" w:rsidRDefault="00000000">
      <w:r>
        <w:t>Indirect impact Exclusion list of environmentally sensitive sectors for which no financing will be provided Maximum 6% limit of Group assets relate to sectors highly contributing to climate change Minimum 5% share of green home loan sales in Malta and Belgium Minimum 45% share of green mutual fund and ETFs offered by MeDirect Group Minimum 10% share of fixed income Treasury assets invested in green bonds Measure financed portfolio carbon emissions 1-3Y In 2023, the Group has engaged in a project to measure the Greenhouse Gas GHG emissions for 2022 and 2023, both for its Scope 1, 2 and 3 own emissions and for its Scope 3 financed emissions, including the Group’s residential and corporate lending portfolios, and treasury portfolio.</w:t>
      </w:r>
    </w:p>
    <w:p w14:paraId="6F5E2910" w14:textId="482EE950" w:rsidR="00B84187" w:rsidRDefault="00000000">
      <w:r>
        <w:t>The measurement of GHG emissions was carried out in alignment with the Greenhouse Gas Protocol GHG Protocol and Partnership for Carbon Accounting Financials PCAF Standards, to ensure transparent and accountable reporting of its environmental impact.</w:t>
      </w:r>
    </w:p>
    <w:p w14:paraId="0A5A45D9" w14:textId="77777777" w:rsidR="00B84187" w:rsidRDefault="00000000">
      <w:r>
        <w:t>As part of the 2024 update to the ESG Strategy, a specific sub strategy will be adopted in relation to the transition towards decarbonisation and climate neutrality of the Group by 2050.</w:t>
      </w:r>
    </w:p>
    <w:p w14:paraId="4436530C" w14:textId="77777777" w:rsidR="00B84187" w:rsidRDefault="00000000">
      <w:r>
        <w:lastRenderedPageBreak/>
        <w:t>The assessment concluded that MeDirect has no investments in PACTA sectors heavily impacted by climate transition risks, reflecting a conservative investment/risk strategy.</w:t>
      </w:r>
    </w:p>
    <w:p w14:paraId="731CDC8E" w14:textId="77777777" w:rsidR="00B84187" w:rsidRDefault="00000000">
      <w:r>
        <w:t>Green financing and investments In its retail lending process, MeDirect has launched green residential home loans in Malta and Belgium to promote energyefficient homes, which support the emission reduction strategy of the Group in an effort to reduce global warming.</w:t>
      </w:r>
    </w:p>
    <w:p w14:paraId="354634B0" w14:textId="77777777" w:rsidR="00B84187" w:rsidRDefault="00000000">
      <w:r>
        <w:t>The Group’s clients’ engagement approach aims to facilitate the achievement of MeDirect’s ESG Strategy targets, meet regulatory requirements and mitigate CER as a result of better understanding of the environmental profile of the Group’s counterparties.</w:t>
      </w:r>
    </w:p>
    <w:p w14:paraId="61601C93" w14:textId="77777777" w:rsidR="00B84187" w:rsidRDefault="00000000">
      <w:r>
        <w:t>Suppliers’ engagement approach In the procurement processes, whenever applicable and possible given its business profile and model, the Group requires its suppliers and any of its vendors to meet MeDirect’s standards in the area of environmental awareness, amongst other things.</w:t>
      </w:r>
    </w:p>
    <w:p w14:paraId="3F352F09" w14:textId="77777777" w:rsidR="00B84187" w:rsidRDefault="00000000">
      <w:r>
        <w:t>Integration of C&amp;E events into operational frameworks The Group has integrated adverse climate-related and environmental events into its business continuity and incident management procedures, including relevant communication plans in the occurrence of an event of adverse physical and transition risks.</w:t>
      </w:r>
    </w:p>
    <w:p w14:paraId="765A3ADE" w14:textId="77777777" w:rsidR="00B84187" w:rsidRDefault="00000000">
      <w:r>
        <w:t>Governance The Group continuously integrates CER/ESG risks and criteria in its risk framework by regularly updating relevant internal policies and procedures.</w:t>
      </w:r>
    </w:p>
    <w:p w14:paraId="7E91453D" w14:textId="77777777" w:rsidR="00B84187" w:rsidRDefault="00000000">
      <w:r>
        <w:t>ESG Committee Responsible for the oversight of the implementation of CER and ESG action plans, including the ESG Strategy, mainly to ensure consistency with the Group’s business model, corporate culture, and values, as well as risk management framework.</w:t>
      </w:r>
    </w:p>
    <w:p w14:paraId="261A3943" w14:textId="77777777" w:rsidR="00B84187" w:rsidRDefault="00000000">
      <w:r>
        <w:t>By setting the ESG agenda at the parent level, the Board ensures a common ESG strategic framework which can be deployed and implemented across the Group.</w:t>
      </w:r>
    </w:p>
    <w:p w14:paraId="57137BCE" w14:textId="77777777" w:rsidR="00B84187" w:rsidRDefault="00000000">
      <w:r>
        <w:t>It oversees MeDirect ESG strategy and agenda implementation whilst providing advice and support to the Board of Directors on CER/ESG-related matters.</w:t>
      </w:r>
    </w:p>
    <w:p w14:paraId="21817E15" w14:textId="77777777" w:rsidR="00B84187" w:rsidRDefault="00000000">
      <w:r>
        <w:t>The Internal Audit function is a permanent invitee to the Committee as an observer in order to maintain its independent status.</w:t>
      </w:r>
    </w:p>
    <w:p w14:paraId="7FCEA2D9" w14:textId="77777777" w:rsidR="00B84187" w:rsidRDefault="00000000">
      <w:r>
        <w:t>During 2023, the Group has incorporated sustainability criteria in its Corporate Governance Framework that shall be taken into consideration during the Board Collective Suitability Assessment that is conducted at least on a yearly basis.</w:t>
      </w:r>
    </w:p>
    <w:p w14:paraId="354A5A04" w14:textId="77777777" w:rsidR="00B84187" w:rsidRDefault="00000000">
      <w:r>
        <w:t>Integration of ESG principles across all three lines of defence The Group integrates ESG principles across all three lines of defence by updating business policies and procedures, the Risk Management Framework, Compliance Monitoring plans and the Internal Audit plans, as described in the Group Sustainability Risk Policy.</w:t>
      </w:r>
    </w:p>
    <w:p w14:paraId="006C169C" w14:textId="77777777" w:rsidR="00B84187" w:rsidRDefault="00000000">
      <w:r>
        <w:lastRenderedPageBreak/>
        <w:t>Business functions first line of defence are responsible for identifying, assessing and managing sustainability risks in the various stages of their business processes.</w:t>
      </w:r>
    </w:p>
    <w:p w14:paraId="4DAC1944" w14:textId="77777777" w:rsidR="00B84187" w:rsidRDefault="00000000">
      <w:r>
        <w:t>Business functions implement the Group’s procedures and policies related to sustainability risks in their day-to-day business operations.</w:t>
      </w:r>
    </w:p>
    <w:p w14:paraId="5E522131" w14:textId="77777777" w:rsidR="00B84187" w:rsidRDefault="00000000">
      <w:r>
        <w:t>Additionally, the Compliance functions second line of defence of both MeDirect Malta and MeDirect Belgium prepare a Compliance Monitoring plan, which is approved by the respective Board Risk and Compliance Committee, taking into account sustainability-related regulations, as appropriate.</w:t>
      </w:r>
    </w:p>
    <w:p w14:paraId="0FD031CA" w14:textId="77777777" w:rsidR="00B84187" w:rsidRDefault="00000000">
      <w:r>
        <w:t>The Compliance function operates independently from the business units but advises/challenges business units and other internal functions to ensure that operations are in line with policies, procedures, and regulations.</w:t>
      </w:r>
    </w:p>
    <w:p w14:paraId="4112D5D2" w14:textId="4AB98C9C" w:rsidR="00B84187" w:rsidRDefault="00000000">
      <w:r>
        <w:t>The Internal Audit function IAF third line of defence is responsible for the execution of a risk and priority based multi-year audit plan across the Group.</w:t>
      </w:r>
    </w:p>
    <w:p w14:paraId="0AA19F0D" w14:textId="77777777" w:rsidR="00B84187" w:rsidRDefault="00000000">
      <w:r>
        <w:t>In this context, the IAF considers ESG governance as a separate audit topic in its multi-year audit plan and embeds ESG/CER where relevant as a specific attention point in the audit scope and approach for specific business activity, support process and control function reviews.</w:t>
      </w:r>
    </w:p>
    <w:p w14:paraId="755F6D51" w14:textId="77777777" w:rsidR="00B84187" w:rsidRDefault="00000000">
      <w:r>
        <w:t>Moody’s analytics research and publicly available Grantham Research Institute on Climate Change and the Environment research papers were used as data sources for the assessment of transition risk.</w:t>
      </w:r>
    </w:p>
    <w:p w14:paraId="68F1B416" w14:textId="77777777" w:rsidR="00B84187" w:rsidRDefault="00000000">
      <w:r>
        <w:t>In 2023/2024, the Group was also in scope of the one-off Fit for 55 data collection exercise, which included the reporting of environmental data namely, GHG emissions data for year-end 2022.</w:t>
      </w:r>
    </w:p>
    <w:p w14:paraId="1B968CFB" w14:textId="77777777" w:rsidR="00B84187" w:rsidRDefault="00000000">
      <w:r>
        <w:t>ESG-related objectives integrated within the Group’s Remuneration Policy Starting in 2022, the Group has incorporated sustainability objectives into its Remuneration Policy.</w:t>
      </w:r>
    </w:p>
    <w:p w14:paraId="79AB3C9E" w14:textId="77777777" w:rsidR="00B84187" w:rsidRDefault="00000000">
      <w:r>
        <w:t>ESG qualitative and quantitative performance objectives for key senior managers motivate these employees to participate actively in the ESG transformation and to support the ESG strategy implementation.</w:t>
      </w:r>
    </w:p>
    <w:p w14:paraId="39416585" w14:textId="77777777" w:rsidR="00B84187" w:rsidRDefault="00000000">
      <w:r>
        <w:t>Some of the sustainability objectives are employee-specific and are designed to discourage excessive risk-taking in relation to sustainability risks.</w:t>
      </w:r>
    </w:p>
    <w:p w14:paraId="1CE07D5B" w14:textId="4B5421C0" w:rsidR="00B84187" w:rsidRDefault="00000000">
      <w:r>
        <w:t xml:space="preserve">It is important to note that the term litigation risk is to be understood broadly and can result from a number of different factors, including but not limited to, , Environmental &amp; climate change-related claims, Claims alleging potential greenwashing, Claims alleging human rights violations, Liability for supply chains &amp; subsidiaries, Alleged directorial misconduct and/or neglect of directorship duties, Stakeholder including clients, regulators, etc, activism NOTE, CER refers to climate and environment-related risks The above </w:t>
      </w:r>
      <w:r>
        <w:lastRenderedPageBreak/>
        <w:t>describes the main transition channels between sustainability risks, including CER, and traditional risk categories.</w:t>
      </w:r>
    </w:p>
    <w:p w14:paraId="6B35BDF5" w14:textId="759F9DDC" w:rsidR="00B84187" w:rsidRDefault="00000000">
      <w:r>
        <w:t xml:space="preserve">During this process, the Group has </w:t>
      </w:r>
      <w:proofErr w:type="gramStart"/>
      <w:r>
        <w:t>taken into account</w:t>
      </w:r>
      <w:proofErr w:type="gramEnd"/>
      <w:r>
        <w:t xml:space="preserve"> its business profile and strategic direction as well as regulatory requirements as stipulated in the European Central Bank ECB Guide to climate-related and environmental risks, United Nations Sustainable Development Goals principles, Task Force on Climate-related Financial Disclosure recommendations, Taxonomy Regulation, SFRD and MIFID II, among other regulations.</w:t>
      </w:r>
    </w:p>
    <w:p w14:paraId="07C55F29" w14:textId="77777777" w:rsidR="00B84187" w:rsidRDefault="00000000">
      <w:r>
        <w:t>Incorporation of CER in the lending process Moreover, the Group incorporates CER principles in its main business processes, as outlined in the Sustainability Risk Policy, with the aim of managing C&amp;E risks and raising CER awareness within the organisation and amongst its clients and counterparties.</w:t>
      </w:r>
    </w:p>
    <w:p w14:paraId="39E064D0" w14:textId="77777777" w:rsidR="00B84187" w:rsidRDefault="00000000">
      <w:r>
        <w:t>Governance, the three lines of defence are responsible for identifying, assessing and managing C&amp;E risks across the organisation, applying relevant requirements and controlling actions.</w:t>
      </w:r>
    </w:p>
    <w:p w14:paraId="70884CE3" w14:textId="77777777" w:rsidR="00B84187" w:rsidRDefault="00000000">
      <w:r>
        <w:t>In the corporate loan origination process, the Group implemented an exclusion list specifying the activities that the Group will not finance as a result of potentially negative effects on the environment, including greenhouse gas emissions, biodiversity loss and water scarcity.</w:t>
      </w:r>
    </w:p>
    <w:p w14:paraId="37FA8BB0" w14:textId="77777777" w:rsidR="00B84187" w:rsidRDefault="00000000">
      <w:r>
        <w:t>The Group has also committed in its ESG Strategy that direct exposure to sectors contributing significantly to climate change that might have potentially negative impact on the environment will not exceed 6% of the Group’s assets by 2024/25.</w:t>
      </w:r>
    </w:p>
    <w:p w14:paraId="6BCF009E" w14:textId="3EEAB5A5" w:rsidR="00B84187" w:rsidRDefault="00000000">
      <w:r>
        <w:t>Litigation risk is treated as an ancillary, inter-related risk insofar as the risk of litigation is directly linked and ultimately largely determined by to the adherence or lack thereof, to properly identify, monitor and mitigate all other risks forming part of the Group’s risk horizon CER, compliance risk, social risks, etc.</w:t>
      </w:r>
    </w:p>
    <w:p w14:paraId="7F57A80D" w14:textId="77777777" w:rsidR="00B84187" w:rsidRDefault="00000000">
      <w:r>
        <w:t>Impact of environmental risks on capital and liquidity risks A number of key risk indicators are monitored periodically by the Risk function relating to the monitoring of concentration risk to high CER sectors, flood and sea hazard risk, yearly energy efficiency of the properties, among others, in relation to the retail and corporate lending portfolios.</w:t>
      </w:r>
    </w:p>
    <w:p w14:paraId="60D70843" w14:textId="77777777" w:rsidR="00B84187" w:rsidRDefault="00000000">
      <w:r>
        <w:t>This assessment is led by the Risk Management function and is reviewed on a yearly basis to ensure alignment with the wider business strategy.</w:t>
      </w:r>
    </w:p>
    <w:p w14:paraId="3464D0D3" w14:textId="77777777" w:rsidR="00B84187" w:rsidRDefault="00000000">
      <w:r>
        <w:t>The assessment includes on and-off-balance sheet assets and contingencies, covering climate physical and environmental risks Floods/Fluvial, Sea Level Risk, Drought/Extreme Heat, Forest Fire/Wildfire, Biodiversity Loss, Water Stress and other climate transition risks Policy/Regulations, Stranded Asset Risk, Market Sentiment, Technology Change, including high-level impact horizons.</w:t>
      </w:r>
    </w:p>
    <w:p w14:paraId="1AAC0A5E" w14:textId="77777777" w:rsidR="00B84187" w:rsidRDefault="00000000">
      <w:r>
        <w:lastRenderedPageBreak/>
        <w:t>In relation to the provisioning framework, the Group applies climate-adjusted scenarios for the estimation of the climate-adjusted credit loss allowances of its exposures classified within the International Corporate Lending, Maltese Business Lending, Dutch Mortgages, and Buy-to-Let portfolios.</w:t>
      </w:r>
    </w:p>
    <w:p w14:paraId="55167836" w14:textId="77777777" w:rsidR="00B84187" w:rsidRDefault="00000000">
      <w:r>
        <w:t>Helping employees to develop and ensuring attractive working conditions is crucial to the achievement of the Group’s business goals and to increase employee satisfaction.</w:t>
      </w:r>
    </w:p>
    <w:p w14:paraId="5A0E9512" w14:textId="77777777" w:rsidR="00B84187" w:rsidRDefault="00000000">
      <w:r>
        <w:t>MeDirect is also aware of its role in society and will therefore continue to engage in community initiatives that promote inclusion, development and support future prosperity.</w:t>
      </w:r>
    </w:p>
    <w:p w14:paraId="7C79AB20" w14:textId="77777777" w:rsidR="00B84187" w:rsidRDefault="00000000">
      <w:r>
        <w:t>Moreover, the Group will continue to contribute to the economic and social development of the countries in which it operates through its financial activity, delivery of digital solutions, participation in governmental support schemes and being a recognised employer and taxpayer.</w:t>
      </w:r>
    </w:p>
    <w:p w14:paraId="62A6F7CA" w14:textId="0777FC55" w:rsidR="00B84187" w:rsidRDefault="00000000">
      <w:r>
        <w:t>In addition, the Information and Communication Technology ICT and Security Risk Management Framework documents MeDirect’s approach to monitoring and mitigating ICT risks, including cyber risks.</w:t>
      </w:r>
    </w:p>
    <w:p w14:paraId="3A7CE251" w14:textId="77777777" w:rsidR="00B84187" w:rsidRDefault="00000000">
      <w:r>
        <w:t>In relation to the wider community, each year, the Group prepares a plan for voluntary and charitable activities and sponsorships with the aim of actively engaging in local community initiatives.</w:t>
      </w:r>
    </w:p>
    <w:p w14:paraId="64030069" w14:textId="77777777" w:rsidR="00B84187" w:rsidRDefault="00000000">
      <w:r>
        <w:t>Moreover, to ensure proper sustainable business conduct by the Group, a yearly training programme has been initiated back in 2022 for Board of Directors and key stakeholders.</w:t>
      </w:r>
    </w:p>
    <w:p w14:paraId="6233A4D1" w14:textId="77777777" w:rsidR="00B84187" w:rsidRDefault="00000000">
      <w:r>
        <w:t>Updates might include information about management of employee and counterparty relations, pay gap monitoring, customer complaints, data protection and security, violations of ethical standards or labour rights, employees’ development, and remuneration.</w:t>
      </w:r>
    </w:p>
    <w:p w14:paraId="7246DC9C" w14:textId="77777777" w:rsidR="00B84187" w:rsidRDefault="00000000">
      <w:r>
        <w:t>The Group has implemented policies and procedures to manage risk related to its employees by defining staff relationships and a labour standards framework while developing an organisational culture which supports internationally recognised human rights.</w:t>
      </w:r>
    </w:p>
    <w:p w14:paraId="238A4216" w14:textId="77777777" w:rsidR="00B84187" w:rsidRDefault="00000000">
      <w:r>
        <w:t>MeDirect’s compliance with these policies is a process of continuous improvement, and that is why MeDirect is committed to review all of its policies and procedures at least on an annual basis.</w:t>
      </w:r>
    </w:p>
    <w:p w14:paraId="0A1611C0" w14:textId="77777777" w:rsidR="00B84187" w:rsidRDefault="00000000">
      <w:r>
        <w:t>Among the most relevant policies relating to social aspects, particularly related to MeDirect’s employees, include the Group Code of Conduct and Ethics, Diversity Policy, Discrimination and Harassment Policy, Whistleblowing Policy, Relationship at Work Policy, Recruitment Policy, Succession Policy, Conflict of Interest Policy, Reputation Risk Management Policy, Anti-Fraud Policy, and Anti-Bribery and Corruption Policy.</w:t>
      </w:r>
    </w:p>
    <w:p w14:paraId="0BB3985E" w14:textId="77777777" w:rsidR="00B84187" w:rsidRDefault="00000000">
      <w:r>
        <w:lastRenderedPageBreak/>
        <w:t>With respect to key business partners and suppliers, MeDirect’s policies are aimed to ensure the highest standards of business conduct, business ethics and integrity, as well as social responsibility from its business partners and suppliers.</w:t>
      </w:r>
    </w:p>
    <w:p w14:paraId="03E908AC" w14:textId="77777777" w:rsidR="00B84187" w:rsidRDefault="00000000">
      <w:r>
        <w:t>Such policies and procedures include the Group Code of Conduct and Ethics, Clients Acceptance Policy, Risk Appetite Statements, Anti-Money Laundering and Countering of Terrorism Policy, Reputation Risk Management Policy, Procurement Policy, Group Outsourcing framework, and the Supplier and Business Partner Code of Conduct, among others.</w:t>
      </w:r>
    </w:p>
    <w:p w14:paraId="1DFE5CA5" w14:textId="77777777" w:rsidR="00B84187" w:rsidRDefault="00000000">
      <w:r>
        <w:t>The Group determines variable compensation of its employees based on individual performance in relation to agreed qualitative and quantitative objectives established in line with the Group’s strategy and its performance.</w:t>
      </w:r>
    </w:p>
    <w:p w14:paraId="4234D539" w14:textId="77777777" w:rsidR="00B84187" w:rsidRDefault="00000000">
      <w:r>
        <w:t>Objectives depending on the role in the organisation include social aspects.</w:t>
      </w:r>
    </w:p>
    <w:p w14:paraId="7FE4B6C8" w14:textId="77777777" w:rsidR="00B84187" w:rsidRDefault="00000000">
      <w:r>
        <w:t>The Group adopts an unbiased approach in the hiring process and ensures that prospective employees meet with a minimum of three different Group employees.</w:t>
      </w:r>
    </w:p>
    <w:p w14:paraId="04451703" w14:textId="77777777" w:rsidR="00B84187" w:rsidRDefault="00000000">
      <w:r>
        <w:t>Risk management The MeDirect Group Sustainability Risk Policy defines sustainability/ESG risk to include the social risk, events or conditions that, if they occur, could result in an actual or a potential negative impact on the value of investment, as defined in the SFDR Regulation, which would directly or indirectly affect the value of the organisation.</w:t>
      </w:r>
    </w:p>
    <w:p w14:paraId="69908768" w14:textId="77777777" w:rsidR="00B84187" w:rsidRDefault="00000000">
      <w:r>
        <w:t>The influence of social risks on credit, market, liquidity/funding, operational or reputational risk may depend on the severity of non-compliance with regulations, market standards or stakeholders’ expectations, regulatory actions, the severity of human rights violations, or impact on employees and counterparties.</w:t>
      </w:r>
    </w:p>
    <w:p w14:paraId="68A79F42" w14:textId="77777777" w:rsidR="00B84187" w:rsidRDefault="00000000">
      <w:r>
        <w:t>Governance, the three lines of defence are responsible for identifying, managing and overseeing social risks across the organisation in accordance with relevant policies and procedures.</w:t>
      </w:r>
    </w:p>
    <w:p w14:paraId="01959833" w14:textId="77777777" w:rsidR="00B84187" w:rsidRDefault="00000000">
      <w:r>
        <w:t>Integration of social factors into the Risk Management The Group integrates social factors into its risk framework by updating its policies and procedures, implementing dedicated ESG Strategy objectives and commitments, and incorporating them into its daily operations.</w:t>
      </w:r>
    </w:p>
    <w:p w14:paraId="62FC7B3F" w14:textId="77777777" w:rsidR="00B84187" w:rsidRDefault="00000000">
      <w:r>
        <w:t>The Group manages and mitigates social risks by restricting and/or prohibiting the establishment of banking relationships with clients from sanctioned countries, controversial industries or industries applying questionable business practices.</w:t>
      </w:r>
    </w:p>
    <w:p w14:paraId="0B110BDD" w14:textId="77777777" w:rsidR="00B84187" w:rsidRDefault="00000000">
      <w:r>
        <w:t>In 2023, the Group incorporated in the due diligence of its portfolios the monitoring of the controversial activities of its corporate clients associated with severe environmental or social damage that might impact the Group’s stability, reputation and future liability and litigation risks.</w:t>
      </w:r>
    </w:p>
    <w:p w14:paraId="2800D269" w14:textId="77777777" w:rsidR="00B84187" w:rsidRDefault="00000000">
      <w:r>
        <w:lastRenderedPageBreak/>
        <w:t>In addition, the Group incorporated ESG questionnaires requiring its clients to share information on their approach to ESG and sustainability risks, including social aspects such as impact on society, employee-related issues and respect for human rights, among other information.</w:t>
      </w:r>
    </w:p>
    <w:p w14:paraId="4294D7AB" w14:textId="77777777" w:rsidR="00B84187" w:rsidRDefault="00000000">
      <w:r>
        <w:t>In the procurement process, whenever applicable and possible given its business profile and model, the Group requires its suppliers and any of its contractors to meet MeDirect’s standards, including the existence of appropriate codes of conduct addressing issues such as human rights, social responsibility, labour practices and work environment.</w:t>
      </w:r>
    </w:p>
    <w:p w14:paraId="63228692" w14:textId="77777777" w:rsidR="00B84187" w:rsidRDefault="00000000">
      <w:r>
        <w:t>To further enhance the due diligence relating to sustainability factors, including social aspects, the Group plans to conduct pre-qualification checks in relation to ethical practices and ESG factors on vendors where the expected expenditure equals or exceeds €1 million.</w:t>
      </w:r>
    </w:p>
    <w:p w14:paraId="3E918BDF" w14:textId="77777777" w:rsidR="00B84187" w:rsidRDefault="00000000">
      <w:r>
        <w:t>Reputational risk management All clients of the bank are onboarded in accordance with the Bank's Customer Acceptance Policy.</w:t>
      </w:r>
    </w:p>
    <w:p w14:paraId="70AFB503" w14:textId="77777777" w:rsidR="00B84187" w:rsidRDefault="00000000">
      <w:r>
        <w:t>The Group applies a zero-tolerance policy to any kind of human rights abuses, including but not limited to any form of harassment, discrimination, child labour, forced labour or slavery and inhumane or degrading treatment.</w:t>
      </w:r>
    </w:p>
    <w:p w14:paraId="1FC02D7A" w14:textId="77777777" w:rsidR="00B84187" w:rsidRDefault="00000000">
      <w:r>
        <w:t>Since the conduct of the Group’s suppliers could adversely affect the Group’s reputation and standing in the market, the Group has extended this approach to its business relationships and, whenever applicable and possible, the Group requires its suppliers and any of its contractors to meet MeDirect’s standards in the following areas, code of conduct including human rights, environmental awareness, social responsibility, labour practices and work environment.</w:t>
      </w:r>
    </w:p>
    <w:p w14:paraId="2A9D5EB0" w14:textId="77777777" w:rsidR="00B84187" w:rsidRDefault="00000000">
      <w:r>
        <w:t>Governance High corporate governance standards, an ethical approach to business, and compliance with relevant regulations are important elements of responsible and sustainable organisations.</w:t>
      </w:r>
    </w:p>
    <w:p w14:paraId="724656B5" w14:textId="77777777" w:rsidR="00B84187" w:rsidRDefault="00000000">
      <w:r>
        <w:t>Governance risk can be associated with the governance framework of the Group or its counterparties, including its clients, suppliers and business partners.</w:t>
      </w:r>
    </w:p>
    <w:p w14:paraId="0F79569E" w14:textId="77777777" w:rsidR="00B84187" w:rsidRDefault="00000000">
      <w:r>
        <w:t>The Group is committed to ensure that it continues to follow high standards in terms of transparency and integrity.</w:t>
      </w:r>
    </w:p>
    <w:p w14:paraId="3CFC9E6D" w14:textId="77777777" w:rsidR="00B84187" w:rsidRDefault="00000000">
      <w:r>
        <w:t>In 2024, the Group is revamping its Group Corporate Governance Framework into a holistic Corporate Governance Memorandum to consolidate the Group’s corporate governance rules and procedures for its Board of Directors and its committees.</w:t>
      </w:r>
    </w:p>
    <w:p w14:paraId="425689D3" w14:textId="77777777" w:rsidR="00B84187" w:rsidRDefault="00000000">
      <w:r>
        <w:t>It shall set out rules and procedures to ensure that the Group addresses high standards of corporate governance and complies with the regulatory requirements and obligations.</w:t>
      </w:r>
    </w:p>
    <w:p w14:paraId="0CF22F69" w14:textId="77777777" w:rsidR="00B84187" w:rsidRDefault="00000000">
      <w:r>
        <w:t>The Board approves main policies and procedures and the ESG Strategy that outline MeDirect’s corporate governance framework.</w:t>
      </w:r>
    </w:p>
    <w:p w14:paraId="421174C2" w14:textId="77777777" w:rsidR="00B84187" w:rsidRDefault="00000000">
      <w:r>
        <w:lastRenderedPageBreak/>
        <w:t>Risk management MeDirect defines sustainability risks, including governance risk, in its Group Sustainability Risk Policy.</w:t>
      </w:r>
    </w:p>
    <w:p w14:paraId="32B9175C" w14:textId="77777777" w:rsidR="00B84187" w:rsidRDefault="00000000">
      <w:r>
        <w:t>Special attention is paid to corporate governance, internal policies and procedures, compliance with law and market standards, strategy and risk management, personal data / IT security and transparency, The influence of the governance risks on credit, market, liquidity/funding, operational and reputational risk may depend on the severity of non-compliance with regulations, market standards or stakeholders’ expectations, regulatory actions or the severity of the impact of governance risk on the organisation or its counterparties.</w:t>
      </w:r>
    </w:p>
    <w:p w14:paraId="01C1F8F2" w14:textId="77777777" w:rsidR="00B84187" w:rsidRDefault="00000000">
      <w:r>
        <w:t>Governance, the three lines of defence are responsible for identifying, managing, and overseeing governance risk across the organisation, in accordance with relevant policies and procedures.</w:t>
      </w:r>
    </w:p>
    <w:p w14:paraId="09780B33" w14:textId="77777777" w:rsidR="00B84187" w:rsidRDefault="00000000">
      <w:r>
        <w:t>The Group integrates governance factors into its risk management framework as it updates its policies and procedures, implements its dedicated ESG Strategy objectives and commitments and incorporates governance considerations into its daily operations.</w:t>
      </w:r>
    </w:p>
    <w:p w14:paraId="5D52483E" w14:textId="77777777" w:rsidR="00B84187" w:rsidRDefault="00000000">
      <w:r>
        <w:t>Risk management of governance risks follows the same procedures adopted by the Group when it comes to all financial and non-financial risk pillars.</w:t>
      </w:r>
    </w:p>
    <w:p w14:paraId="38AA6382" w14:textId="77777777" w:rsidR="00B84187" w:rsidRDefault="00000000">
      <w:r>
        <w:t>This is in line with the Group Risk Management Framework and Risk Appetite Framework.</w:t>
      </w:r>
    </w:p>
    <w:p w14:paraId="7BB8397B" w14:textId="77777777" w:rsidR="00B84187" w:rsidRDefault="00000000">
      <w:r>
        <w:t>With the implementation of the CSRD, MeDirect will integrate additional governance risk assessment aspects for its clients.</w:t>
      </w:r>
    </w:p>
    <w:p w14:paraId="658219EB" w14:textId="77777777" w:rsidR="00B84187" w:rsidRDefault="00000000">
      <w:r>
        <w:t>The compliance area will further analyse its clients’ governance, particularly within the context of ongoing client due diligence.</w:t>
      </w:r>
    </w:p>
    <w:p w14:paraId="4B293E56" w14:textId="77777777" w:rsidR="00B84187" w:rsidRDefault="00000000">
      <w:r>
        <w:t>This analysis aligns with MeDirect’s established policies and procedures to enhance focus on critical areas such as ethics, integrity, board diversity, equality, and client protection.</w:t>
      </w:r>
    </w:p>
    <w:p w14:paraId="08494DA6" w14:textId="77777777" w:rsidR="00B84187" w:rsidRDefault="00000000">
      <w:r>
        <w:t>MeDirect therefore has committed to limit its direct exposure to sectors highly contributing to climate change and not to finance sectors that might be associated with potentially negative effects on the environment in line with MeDirect’s exclusion list.</w:t>
      </w:r>
    </w:p>
    <w:p w14:paraId="7F349C10" w14:textId="77777777" w:rsidR="00B84187" w:rsidRDefault="00000000">
      <w:r>
        <w:t>Ba nking b ook Clima te cha ng e tra ns ition ris k, Alignment me trics Temp la te 3 MDB Group only has one client engaged in activities that fall under the scope of the climate change transition risk alignment metrics, with a gross carrying amount exposure of 0.</w:t>
      </w:r>
    </w:p>
    <w:p w14:paraId="20540BF3" w14:textId="211802A7" w:rsidR="00B84187" w:rsidRDefault="00000000">
      <w:r>
        <w:t>The assessment conducted by MeDirect was based on publicly available list of companies with GHG emissions disclosed in the in ‘'Carbon Majors Database Report in April 2024.</w:t>
      </w:r>
    </w:p>
    <w:p w14:paraId="535B1F99" w14:textId="7969DD36" w:rsidR="00B84187" w:rsidRDefault="00000000">
      <w:r>
        <w:t>Gross carrying amount aggregate Gross carrying amount towards the counterparties compared to total gross carrying amount aggregate</w:t>
      </w:r>
      <w:r w:rsidR="00D150E4">
        <w:t xml:space="preserve"> o</w:t>
      </w:r>
      <w:r>
        <w:t xml:space="preserve">f which environmentally sustainable Weighted average maturity Number of top 20 polluting firms included </w:t>
      </w:r>
      <w:r w:rsidR="00204A92">
        <w:t>f</w:t>
      </w:r>
      <w:r>
        <w:t xml:space="preserve">or counterparties </w:t>
      </w:r>
      <w:r>
        <w:lastRenderedPageBreak/>
        <w:t>among the top 20 carbon emitting companies in the world 31 MDB GROUP LIMITED Pillar 3 disclosures report ESG 31 December 2023 Chronic hazards relating to gradual changes in weather and climate with a possible impact on economic output and productivity.</w:t>
      </w:r>
    </w:p>
    <w:p w14:paraId="69D824DE" w14:textId="77777777" w:rsidR="00B84187" w:rsidRDefault="00000000">
      <w:r>
        <w:t>The Group has applied a conservative approach and assumed that exposures classified as high or very high, in at least one CER scenario, are sensitive to impact from climate change physical events as presented in the tables below.</w:t>
      </w:r>
    </w:p>
    <w:p w14:paraId="240B5542" w14:textId="77777777" w:rsidR="00B84187" w:rsidRDefault="00000000">
      <w:r>
        <w:t>At a portfolio level, regions where collateral is located in the Dutch NHG and Buy-To-Let mortgage portfolio are exposed to overall moderate fluvial flood, coastal, water stress and biodiversity loss risks as per CER materiality assessment.</w:t>
      </w:r>
    </w:p>
    <w:p w14:paraId="61D27B13" w14:textId="77777777" w:rsidR="00B84187" w:rsidRDefault="00000000">
      <w:r>
        <w:t>This template aims to offer a concise overview of the performance indicators that are specifically aligned with the Taxonomy requirements, focusing on the environmental sustainability aspects of financial institutions' exposures.</w:t>
      </w:r>
    </w:p>
    <w:p w14:paraId="62C86749" w14:textId="77777777" w:rsidR="00B84187" w:rsidRDefault="00000000">
      <w:r>
        <w:t>By detailing these KPIs, this template helps institutions disclose essential information regarding their exposures that are in line with the Taxonomy regulations, thereby enhancing transparency and accountability in reporting on ESG risks.</w:t>
      </w:r>
    </w:p>
    <w:p w14:paraId="3D2F3E20" w14:textId="77777777" w:rsidR="00B84187" w:rsidRDefault="00000000">
      <w:r>
        <w:t>Mitigating actions are crucial in the context of the GAR because they demonstrate the steps financial institutions are taking to reduce the environmental impact of their exposures and align them with the Taxonomy requirements.</w:t>
      </w:r>
    </w:p>
    <w:p w14:paraId="586F2CF6" w14:textId="77777777" w:rsidR="00B84187" w:rsidRDefault="00000000">
      <w:r>
        <w:t>The template provides information regarding the Green Asset Ratio both for the current reporting period KPIs on flows and for the total KPIs on stock and divided by climate change mitigation and adaptation activity exposure.</w:t>
      </w:r>
    </w:p>
    <w:p w14:paraId="3C1CC351" w14:textId="77777777" w:rsidR="00B84187" w:rsidRDefault="00000000">
      <w:r>
        <w:t>In 2022, MeDirect launched green residential home loans in Malta April 2022 and Belgium December 2022 to promote energy-efficient homes which contribute to the emission reduction of buildings in an effort to reduce global warming.</w:t>
      </w:r>
    </w:p>
    <w:p w14:paraId="367DCE1F" w14:textId="77777777" w:rsidR="00B84187" w:rsidRDefault="00000000">
      <w:r>
        <w:t>The Maltese corporate lending market is relatively small, and the availability of green projects in the fields of renewable energy solar, wind and hydro power, clean transportation, green buildings or data centres, development and implementation of products or technology that reduce the use of energy or sustainable management of natural resources and land use, as well as social projects in the areas of healthcare and affordable housing projects is limited.</w:t>
      </w:r>
    </w:p>
    <w:sectPr w:rsidR="00B841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281956795">
    <w:abstractNumId w:val="8"/>
  </w:num>
  <w:num w:numId="2" w16cid:durableId="596183520">
    <w:abstractNumId w:val="6"/>
  </w:num>
  <w:num w:numId="3" w16cid:durableId="389495795">
    <w:abstractNumId w:val="5"/>
  </w:num>
  <w:num w:numId="4" w16cid:durableId="1751389292">
    <w:abstractNumId w:val="4"/>
  </w:num>
  <w:num w:numId="5" w16cid:durableId="1904100957">
    <w:abstractNumId w:val="7"/>
  </w:num>
  <w:num w:numId="6" w16cid:durableId="104348764">
    <w:abstractNumId w:val="3"/>
  </w:num>
  <w:num w:numId="7" w16cid:durableId="1495561238">
    <w:abstractNumId w:val="2"/>
  </w:num>
  <w:num w:numId="8" w16cid:durableId="1039671394">
    <w:abstractNumId w:val="1"/>
  </w:num>
  <w:num w:numId="9" w16cid:durableId="817920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A92"/>
    <w:rsid w:val="0029639D"/>
    <w:rsid w:val="00326F90"/>
    <w:rsid w:val="005E7043"/>
    <w:rsid w:val="007B01D6"/>
    <w:rsid w:val="008B434A"/>
    <w:rsid w:val="008D46D6"/>
    <w:rsid w:val="00900357"/>
    <w:rsid w:val="00AA1D8D"/>
    <w:rsid w:val="00AF4F61"/>
    <w:rsid w:val="00B47730"/>
    <w:rsid w:val="00B84187"/>
    <w:rsid w:val="00CB0664"/>
    <w:rsid w:val="00D150E4"/>
    <w:rsid w:val="00FB2B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0F9F5"/>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8170</Words>
  <Characters>46572</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2025-07-31T20:54:00Z</dcterms:modified>
  <cp:category/>
</cp:coreProperties>
</file>