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1A4E9" w14:textId="77777777" w:rsidR="00A908DC" w:rsidRDefault="00000000">
      <w:r>
        <w:t>The Volkswagen Group is thus laying the foundation for the successful implementation of the Groups strategy in the mobility sector, taking into account the regulatory framework.</w:t>
      </w:r>
    </w:p>
    <w:p w14:paraId="1A3043F5" w14:textId="77777777" w:rsidR="00A908DC" w:rsidRDefault="00000000">
      <w:r>
        <w:t>The Bank needs to ensure that it too transforms itself into a data-driven and fully digital organization as part of this process as well as actively helping to shape the transition to sustainable, zero-emissions mobility, developing funding eligibility as a lever for the targeted balance sheet growth as the owner of the vehicle portfolio and utilizing the deposit business as a strategic funding component.</w:t>
      </w:r>
    </w:p>
    <w:p w14:paraId="48ABC227" w14:textId="77777777" w:rsidR="00A908DC" w:rsidRDefault="00000000">
      <w:r>
        <w:t>A highly scalable product as a service approach allows clients to provide financing solutions for e-commerce and over-the-counter business in their own name quickly with no direct development or operating costs.</w:t>
      </w:r>
    </w:p>
    <w:p w14:paraId="00443C32" w14:textId="77777777" w:rsidR="00A908DC" w:rsidRDefault="00000000">
      <w:r>
        <w:t>In this context, Volkswagen AG is also responsible for disclosing environmental, social and corporate governance issues throughout the Group.</w:t>
      </w:r>
    </w:p>
    <w:p w14:paraId="54C5FE77" w14:textId="77777777" w:rsidR="00A908DC" w:rsidRDefault="00000000">
      <w:r>
        <w:t>At national level, developments depended on the one hand on the intensity with which central banks had to tighten monetary policy to curb the higher inflation mainly by raising interest rates and reducing bond holdings which had a negative impact on consumer spending and investment activity.</w:t>
      </w:r>
    </w:p>
    <w:p w14:paraId="4ABFECD4" w14:textId="77777777" w:rsidR="00A908DC" w:rsidRDefault="00000000">
      <w:r>
        <w:t>The year-on-year change in the regulatory capital ratios CET1 capital ratio, Tier 1 capital ratio and total capital ratio is largely attributable to the increase in total risk exposure having more than offset the increase in own funds.</w:t>
      </w:r>
    </w:p>
    <w:p w14:paraId="3FED61D3" w14:textId="77777777" w:rsidR="00A908DC" w:rsidRDefault="00000000">
      <w:r>
        <w:t>The wording of the profit-and-loss transfer agreement has been amended to establish indisputable compliance with the CRR eligibility criteria.</w:t>
      </w:r>
    </w:p>
    <w:p w14:paraId="10CEA935" w14:textId="77777777" w:rsidR="00A908DC" w:rsidRDefault="00000000">
      <w:r>
        <w:t>Compliance with this requirement is determined and continuously monitored by the liquidity risk management department.</w:t>
      </w:r>
    </w:p>
    <w:p w14:paraId="633E09A7" w14:textId="77777777" w:rsidR="00A908DC" w:rsidRDefault="00000000">
      <w:r>
        <w:t>A high level of liquidity was maintained on a permanent basis during the reporting period and the minimum regulatory ratio was therefore satisfied.</w:t>
      </w:r>
    </w:p>
    <w:p w14:paraId="5E053CBC" w14:textId="77777777" w:rsidR="00A908DC" w:rsidRDefault="00000000">
      <w:r>
        <w:t>The risk management system comprises a framework of risk principles, organizational structures and processes for assessing and monitoring risks.</w:t>
      </w:r>
    </w:p>
    <w:p w14:paraId="09F7D5D0" w14:textId="77777777" w:rsidR="00A908DC" w:rsidRDefault="00000000">
      <w:r>
        <w:t>This function includes drawing up risk policy guidelines, developing and maintaining methodologies and processes relevant to risk management, and issuing and monitoring international framework standards for the procedures to be used across Europe.</w:t>
      </w:r>
    </w:p>
    <w:p w14:paraId="03D2340E" w14:textId="77777777" w:rsidR="00A908DC" w:rsidRDefault="00000000">
      <w:r>
        <w:t>Risk Management is therefore responsible for identifying possible risks, analyzing, quantifying and evaluating risks, and for determining the resulting measures to respond to the risks.</w:t>
      </w:r>
    </w:p>
    <w:p w14:paraId="3223A5FF" w14:textId="77777777" w:rsidR="00A908DC" w:rsidRDefault="00000000">
      <w:r>
        <w:lastRenderedPageBreak/>
        <w:t>The risk strategy describes the main risk management goals and action plans for each category of risk, taking into account the business policy focus, risk tolerance and risk appetite.</w:t>
      </w:r>
    </w:p>
    <w:p w14:paraId="1CA40839" w14:textId="77777777" w:rsidR="00A908DC" w:rsidRDefault="00000000">
      <w:r>
        <w:t>The objective of the normative perspective is to ensure that the Volkswagen Bank GmbH Group meets all relevant regulatory capital ratio requirements in particular, the requirements for the total capital ratio and CET1 capital ratio in the planning period.</w:t>
      </w:r>
    </w:p>
    <w:p w14:paraId="5BDC2B5A" w14:textId="77777777" w:rsidR="00A908DC" w:rsidRDefault="00000000">
      <w:r>
        <w:t>To this end, the Volkswagen Bank GmbH Group analyzes a baseline scenario and a multidimensional adverse scenario over a forward-looking time horizon Combined Management Report Report on Opportunities and Risks 34 of three years beyond the current year and constantly monitors its compliance with the regulatory capital requirements and its internally specified early warning thresholds.</w:t>
      </w:r>
    </w:p>
    <w:p w14:paraId="287801D3" w14:textId="77777777" w:rsidR="00A908DC" w:rsidRDefault="00000000">
      <w:r>
        <w:t>Against this backdrop, Volkswagen Bank GmbH is taking a broadly based and in-depth approach to the whole issue of sustainability, the various aspects of which touch several areas of the Banks business.</w:t>
      </w:r>
    </w:p>
    <w:p w14:paraId="1EEAC53C" w14:textId="77777777" w:rsidR="00A908DC" w:rsidRDefault="00000000">
      <w:r>
        <w:t>Examples of its achievements include the staged implementation of climate stress tests in the Banks stress testing program and the publication of ESG factors and new performance indicators in the Disclosure Report as well as the establishment of a green loan framework, the publication of ESG special reports as a foundation for future integration into regular risk management reporting, the development of the sustainability strategy, the provision of staff training in ESG matters and the integration of ESG risks into the corporate lending process, including rollout in the international markets of Volkswagen Bank GmbH Group.</w:t>
      </w:r>
    </w:p>
    <w:p w14:paraId="2F9D5083" w14:textId="77777777" w:rsidR="00A908DC" w:rsidRDefault="00000000">
      <w:r>
        <w:t>These strategies are complemented by the separate sustainability strategy adopted at the beginning of 2023.</w:t>
      </w:r>
    </w:p>
    <w:p w14:paraId="41267088" w14:textId="77777777" w:rsidR="00A908DC" w:rsidRDefault="00000000">
      <w:r>
        <w:t>Various approaches are being pursued in this regard including the refinement of risk models and risk assessment methods, the development and application of scenario analyses, and identification and management using suitable KPIsKRIs.</w:t>
      </w:r>
    </w:p>
    <w:p w14:paraId="7AB7DB0F" w14:textId="77777777" w:rsidR="00A908DC" w:rsidRDefault="00000000">
      <w:r>
        <w:t>One of Volkswagen Bank GmbHs declared objectives is accordingly to provide stewardship for an environmentally friendly transformation process at dealerships.</w:t>
      </w:r>
    </w:p>
    <w:p w14:paraId="7A5BBD7D" w14:textId="77777777" w:rsidR="00A908DC" w:rsidRDefault="00000000">
      <w:r>
        <w:t>Volkswagen Bank GmbH is making major efforts to ensure that its own banking operations are largely climate-neutral and prevent the danger of serious environmental damage.</w:t>
      </w:r>
    </w:p>
    <w:p w14:paraId="2C816BF5" w14:textId="77777777" w:rsidR="00A908DC" w:rsidRDefault="00000000">
      <w:r>
        <w:t>For example, high priority is being accorded to environmental protection measures such as reducing energy, water and paper consumption, cutting carbon emissions and generating less waste.</w:t>
      </w:r>
    </w:p>
    <w:p w14:paraId="7C17601B" w14:textId="77777777" w:rsidR="00A908DC" w:rsidRDefault="00000000">
      <w:r>
        <w:t>Potential hazards to employees, buildings or technology particularly from environmental factors and the means used to protect against them are also analyzed continuously and included in the impact analyses so that remedial actions can be defined and implemented if necessary.</w:t>
      </w:r>
    </w:p>
    <w:p w14:paraId="27CEDE4D" w14:textId="77777777" w:rsidR="00A908DC" w:rsidRDefault="00000000">
      <w:r>
        <w:lastRenderedPageBreak/>
        <w:t>The recovery plan covers matters including a system to ensure that adverse developments are identified promptly, and the possible measures that could be used by the Group in different stress scenarios to safeguard or restore a robust financial footing.</w:t>
      </w:r>
    </w:p>
    <w:p w14:paraId="4632F86E" w14:textId="77777777" w:rsidR="00A908DC" w:rsidRDefault="00000000">
      <w:r>
        <w:t>The EBA Combined Management Report Report on Opportunities and Risks 41 has presented the final draft of Regulatory Technical Standards for the IRRBB standardized approach to this end.</w:t>
      </w:r>
    </w:p>
    <w:p w14:paraId="2C71603D" w14:textId="77777777" w:rsidR="00A908DC" w:rsidRDefault="00000000">
      <w:r>
        <w:t>The EBA has also presented to the European Commission the final draft of Regulatory Technical Standards for the supervisory IRRBB outlier tests, which specify the six supervisory shock scenarios plus the criteria to be used to assess whether there is a strong decline in the net interest income or in the economic value of equity that could trigger supervisory measures.</w:t>
      </w:r>
    </w:p>
    <w:p w14:paraId="1485DA8E" w14:textId="77777777" w:rsidR="00A908DC" w:rsidRDefault="00000000">
      <w:r>
        <w:t>DORA is intended to establish a standardized framework for the effective and all-inclusive management of cybersecurity risk and ICT risk for financial market participants and critical ICT service providers as defined in the Regulation.</w:t>
      </w:r>
    </w:p>
    <w:p w14:paraId="6E1E3D9E" w14:textId="77777777" w:rsidR="00A908DC" w:rsidRDefault="00000000">
      <w:r>
        <w:t>The Guide focuses on seven key areas, a the responsibilities of the management body, b the scope of application of the data governance framework, c key roles and responsibilities for data governance, d the implementation of an integrated data architecture at group level, e the effectiveness of data quality controls, f the timeliness of internal risk reporting and g implementation programs.</w:t>
      </w:r>
    </w:p>
    <w:p w14:paraId="192ED3E8" w14:textId="77777777" w:rsidR="00A908DC" w:rsidRDefault="00000000">
      <w:r>
        <w:t>It is also tackling the subject from the governance side, with a Head of Data Governance ensuring there is an appropriate governance framework in place and that data quality will be adequate for regulatory reporting and internal management purposes.</w:t>
      </w:r>
    </w:p>
    <w:p w14:paraId="34842859" w14:textId="77777777" w:rsidR="00A908DC" w:rsidRDefault="00000000">
      <w:r>
        <w:t>Compliance with the requirements of Implementing Regulation 20222453 concerning Article 449a CRR regarding the disclosure of environmental, social and governance risks was established as part of the same project.</w:t>
      </w:r>
    </w:p>
    <w:p w14:paraId="4D0CB998" w14:textId="77777777" w:rsidR="00A908DC" w:rsidRDefault="00000000">
      <w:r>
        <w:t>This regulation describes the disclosure of extensive sustainability-related information at staggered intervals, with the initial set of ESG information being published in the December 31, 2022 disclosure report, the green asset ratio being disclosed as of December 31 2023 and Scope 1, 2, and 3 Co2 emissions being disclosed as of June 30, 2024.</w:t>
      </w:r>
    </w:p>
    <w:p w14:paraId="7C38DF32" w14:textId="77777777" w:rsidR="00A908DC" w:rsidRDefault="00000000">
      <w:r>
        <w:t>The opposite effect will be seen in the area of emissions intensity, with an increase in the proportion of battery-powered vehicles financed and leased causing CO2 emissions to fall relative to the portfolio of loans and receivables over the next few years.</w:t>
      </w:r>
    </w:p>
    <w:p w14:paraId="2CD77F58" w14:textId="77777777" w:rsidR="00A908DC" w:rsidRDefault="00000000">
      <w:r>
        <w:t>Vehicles with combustion engines will still be financed in the future, so measures to offset these emissions are currently being investigated.</w:t>
      </w:r>
    </w:p>
    <w:p w14:paraId="623D284F" w14:textId="77777777" w:rsidR="00A908DC" w:rsidRDefault="00000000">
      <w:r>
        <w:t xml:space="preserve">Volkswagen Bank GmbH is currently involved in a general intensive review of climate-related and environmental risks that could be drivers of existing categories of risk and that </w:t>
      </w:r>
      <w:r>
        <w:lastRenderedPageBreak/>
        <w:t>are considered in the identification, assessment, monitoring and management of the categories of risk.</w:t>
      </w:r>
    </w:p>
    <w:p w14:paraId="5F405AA1" w14:textId="77777777" w:rsidR="00A908DC" w:rsidRDefault="00000000">
      <w:r>
        <w:t>The draft proposes that as part of this, strategy development will have to be based on a thorough, forward-looking analysis of the business model.</w:t>
      </w:r>
    </w:p>
    <w:p w14:paraId="42E1BCF6" w14:textId="77777777" w:rsidR="00A908DC" w:rsidRDefault="00000000">
      <w:r>
        <w:t>Changed environmental conditions and the transition to sustainable operation also have to be factored in, taking account of possible developments over an appropriately long period, when defining and adapting the business strategy.</w:t>
      </w:r>
    </w:p>
    <w:p w14:paraId="691B077A" w14:textId="77777777" w:rsidR="00A908DC" w:rsidRDefault="00000000">
      <w:r>
        <w:t>Finally, the Corporate Sustainability Reporting Directive entered into force during the reporting year and is now to be implemented in national law.</w:t>
      </w:r>
    </w:p>
    <w:p w14:paraId="4CFAB28E" w14:textId="77777777" w:rsidR="00A908DC" w:rsidRDefault="00000000">
      <w:r>
        <w:t>The sustainability and transformation strategy and the transition plans with defined target dates for reducing CO2 emissions will also be covered by the disclosure requirements.</w:t>
      </w:r>
    </w:p>
    <w:p w14:paraId="48A0C641" w14:textId="77777777" w:rsidR="00A908DC" w:rsidRDefault="00000000">
      <w:r>
        <w:t>All the units involved such as Risk Management, Controlling, Accounting, Legal Affairs, Compliance, Treasury, IT are integrated into the process.</w:t>
      </w:r>
    </w:p>
    <w:p w14:paraId="5AE28F31" w14:textId="77777777" w:rsidR="00A908DC" w:rsidRDefault="00000000">
      <w:r>
        <w:t>These constraints form the mandatory outer framework of the central risk management system, within which the divisionsmarkets can operate in terms of their business policy activities, planning, decisions, etc.</w:t>
      </w:r>
    </w:p>
    <w:p w14:paraId="409C3400" w14:textId="77777777" w:rsidR="00A908DC" w:rsidRDefault="00000000">
      <w:r>
        <w:t>As part of risk management activities, interest rate risk is included in the monthly risk report with a transparent analysis based on value at risk VaR, a calculation offsetting the total market risk against the loss ceiling set for the Volkswagen Bank GmbH Group, and recommendations for targeted measures to manage the risk.</w:t>
      </w:r>
    </w:p>
    <w:p w14:paraId="4383BEBD" w14:textId="77777777" w:rsidR="00A908DC" w:rsidRDefault="00000000">
      <w:r>
        <w:t>Risk Management is responsible for monitoring and reporting on interest rate risk.</w:t>
      </w:r>
    </w:p>
    <w:p w14:paraId="3039313A" w14:textId="77777777" w:rsidR="00A908DC" w:rsidRDefault="00000000">
      <w:r>
        <w:t>Based on the resulting potential residual value risk, various measures are initiated as part of a proactive risk management approach to limit the residual value risk.</w:t>
      </w:r>
    </w:p>
    <w:p w14:paraId="1D224C5F" w14:textId="77777777" w:rsidR="00A908DC" w:rsidRDefault="00000000">
      <w:r>
        <w:t>The objective of operational risk management is to present operational risks transparently and to initiate precautionary or corrective measures with the aim of preventing or, when this is not possible, mitigating the risks or losses.</w:t>
      </w:r>
    </w:p>
    <w:p w14:paraId="47D8AB3B" w14:textId="77777777" w:rsidR="00A908DC" w:rsidRDefault="00000000">
      <w:r>
        <w:t>Risk monitoring and control Operational risk is managed by the companiesdivisions operational risk units on the basis of the guidelines in force and the requirements laid down by the special operational risk units responsible for specific risk categories IT, IntegrityLegal &amp; Compliance, and Human Resources &amp; Organization.</w:t>
      </w:r>
    </w:p>
    <w:p w14:paraId="5E2DE4A7" w14:textId="77777777" w:rsidR="00A908DC" w:rsidRDefault="00000000">
      <w:r>
        <w:t>Risk Management checks the plausibility of the information provided by the companiesdivisions in the risk self-assessments, reviews the reported loss events and then initiates any necessary corrective action, reviews the operational risk system to ensure it is fully functioning and instigates appropriate modifications as required.</w:t>
      </w:r>
    </w:p>
    <w:p w14:paraId="21A9BBED" w14:textId="77777777" w:rsidR="00A908DC" w:rsidRDefault="00000000">
      <w:r>
        <w:lastRenderedPageBreak/>
        <w:t>Compliance, conduct and integrity risk At the Volkswagen Bank GmbH Group, compliance risk encompasses all risks that could arise from noncompliance with statutory rules and regulations or other official or supervisory requirements, or that could be caused by a breach of internal company regulations.</w:t>
      </w:r>
    </w:p>
    <w:p w14:paraId="079B4419" w14:textId="77777777" w:rsidR="00A908DC" w:rsidRDefault="00000000">
      <w:r>
        <w:t>To counter compliance and conduct risks, the compliance function is committed to ensuring compliance with laws, other legal requirements, internal rules and the organizations own stated values and to creating and fostering an appropriate compliance culture.</w:t>
      </w:r>
    </w:p>
    <w:p w14:paraId="6A90341E" w14:textId="77777777" w:rsidR="00A908DC" w:rsidRDefault="00000000">
      <w:r>
        <w:t>It is also the responsibility of the integrity function, on the basis of an integrity management system, to raise awareness of the ethical principles, the code of conduct and the need for compliance, and to help employees choose the right course of action, responsibly and steadfastly, driven by their own personal conviction.</w:t>
      </w:r>
    </w:p>
    <w:p w14:paraId="392C5637" w14:textId="77777777" w:rsidR="00A908DC" w:rsidRDefault="00000000">
      <w:r>
        <w:t>As a component of the compliance function, the role of the compliance officer is to work toward implementing effective procedures to ensure compliance with key and core legal rules and regulations for the institution and toward establishing appropriate controls.</w:t>
      </w:r>
    </w:p>
    <w:p w14:paraId="74F4445C" w14:textId="77777777" w:rsidR="00A908DC" w:rsidRDefault="00000000">
      <w:r>
        <w:t>This is achieved, in particular, by specifying mandatory compliance requirements for legal stipulations classified as material.</w:t>
      </w:r>
    </w:p>
    <w:p w14:paraId="59EF6918" w14:textId="77777777" w:rsidR="00A908DC" w:rsidRDefault="00000000">
      <w:r>
        <w:t>These requirements include documenting responsibilities and processes, establishing controls to the extent required and raising employee awareness of pertinent rules so that employees comply with the rules as a matter of course, reflecting a fully functioning compliance culture.</w:t>
      </w:r>
    </w:p>
    <w:p w14:paraId="509F984E" w14:textId="77777777" w:rsidR="00A908DC" w:rsidRDefault="00000000">
      <w:r>
        <w:t>These activities include, in particular, constantly promoting the Volkswagen Groups Code of Conduct, raising employee awareness on a risk-oriented basis e.</w:t>
      </w:r>
    </w:p>
    <w:p w14:paraId="15A2D955" w14:textId="77777777" w:rsidR="00A908DC" w:rsidRDefault="00000000">
      <w:r>
        <w:t>Tone from the top, tone at the middle, face-to-face training, e-learning programs, other media-based activities, carrying out communication initiatives, including distributing guidelines and other information media, and participating in compliance and integrity programs.</w:t>
      </w:r>
    </w:p>
    <w:p w14:paraId="2378420F" w14:textId="77777777" w:rsidR="00A908DC" w:rsidRDefault="00000000">
      <w:r>
        <w:t>The coordinator is responsible for adherence to and the implementation of the defined compliance requirements such as documenting responsibilities, setting up controls, raising awareness and training employees.</w:t>
      </w:r>
    </w:p>
    <w:p w14:paraId="578B0B6B" w14:textId="77777777" w:rsidR="00A908DC" w:rsidRDefault="00000000">
      <w:r>
        <w:t>In addition, the findings from various audit activities are used to evaluate whether there are indications that the implemented compliance requirements may be ineffective, or whether the audits have identified material residual risks on the basis of which further action needs to be determined.</w:t>
      </w:r>
    </w:p>
    <w:p w14:paraId="0C41FD23" w14:textId="77777777" w:rsidR="00A908DC" w:rsidRDefault="00000000">
      <w:r>
        <w:t>The compliance officer is responsible for coordinating ongoing legal monitoring, the purpose of which is to ensure that new or amended legal regulations and requirements are identified promptly.</w:t>
      </w:r>
    </w:p>
    <w:p w14:paraId="5A98E574" w14:textId="77777777" w:rsidR="00A908DC" w:rsidRDefault="00000000">
      <w:r>
        <w:lastRenderedPageBreak/>
        <w:t>For their part, the compliance theme coordinators must work in collaboration with the legal department and the various other departments to implement measures aimed at identifying new or amended regulations and requirements relevant to their areas of responsibility at an early stage and, if such relevance is established, furnishing an analysis of materiality for the Bank.</w:t>
      </w:r>
    </w:p>
    <w:p w14:paraId="43527CC2" w14:textId="77777777" w:rsidR="00F41D9B" w:rsidRDefault="00000000">
      <w:r>
        <w:t>Currently, the following specific legal fields have been determined as being fundamentally material from the perspective of the Group, Prevention of money laundering and terrorist financing</w:t>
      </w:r>
      <w:r w:rsidR="00F41D9B">
        <w:t xml:space="preserve">, </w:t>
      </w:r>
      <w:r>
        <w:t>Prevention of corruption and other criminal acts Data protection</w:t>
      </w:r>
      <w:r w:rsidR="00F41D9B">
        <w:t xml:space="preserve">, </w:t>
      </w:r>
      <w:r>
        <w:t>Consumer protection</w:t>
      </w:r>
      <w:r w:rsidR="00F41D9B">
        <w:t xml:space="preserve">, </w:t>
      </w:r>
      <w:r>
        <w:t>Capital market law</w:t>
      </w:r>
      <w:r w:rsidR="00F41D9B">
        <w:t>, M</w:t>
      </w:r>
      <w:r>
        <w:t>arket abuse regulation</w:t>
      </w:r>
      <w:r w:rsidR="00F41D9B">
        <w:t xml:space="preserve">, </w:t>
      </w:r>
      <w:r>
        <w:t>Banking supervisory law</w:t>
      </w:r>
      <w:r w:rsidR="00F41D9B">
        <w:t xml:space="preserve">, </w:t>
      </w:r>
      <w:r>
        <w:t>Antitrust law and</w:t>
      </w:r>
      <w:r w:rsidR="00F41D9B">
        <w:t xml:space="preserve"> </w:t>
      </w:r>
      <w:r>
        <w:t>IT security law</w:t>
      </w:r>
      <w:r w:rsidR="00F41D9B">
        <w:t>.</w:t>
      </w:r>
    </w:p>
    <w:p w14:paraId="36A786C2" w14:textId="4E88F41E" w:rsidR="00A908DC" w:rsidRDefault="00000000">
      <w:r>
        <w:t>The compliance requirements for the Volkswagen Bank GmbH Group are specified centrally and must be implemented autonomously in the local companies.</w:t>
      </w:r>
    </w:p>
    <w:p w14:paraId="53E97E5E" w14:textId="77777777" w:rsidR="00A908DC" w:rsidRDefault="00000000">
      <w:r>
        <w:t>As in the case of the compliance function, the central integrity function only specifies the framework for the Group.</w:t>
      </w:r>
    </w:p>
    <w:p w14:paraId="3FA1B756" w14:textId="77777777" w:rsidR="00A908DC" w:rsidRDefault="00000000">
      <w:r>
        <w:t>The annual compliance report contains a presentation of the appropriateness and effectiveness of the compliance requirements implemented to ensure compliance with key and core legal regulations and requirements.</w:t>
      </w:r>
    </w:p>
    <w:p w14:paraId="3A033A41" w14:textId="77777777" w:rsidR="00A908DC" w:rsidRDefault="00000000">
      <w:r>
        <w:t>A further check is carried out to establish whether the activity to be outsourced is permitted outsourcing or prohibited for regulatory reasons.</w:t>
      </w:r>
    </w:p>
    <w:p w14:paraId="28DEAB8D" w14:textId="77777777" w:rsidR="00A908DC" w:rsidRDefault="00000000">
      <w:r>
        <w:t>The proven tools and procedures for managing operational risk will also be used for the new entities that become part of the subgroup as a result of the planned changes to the structures of Volkswagen Bank GmbH under company law in 2024 to ensure continued efficient risk management.</w:t>
      </w:r>
    </w:p>
    <w:p w14:paraId="01681532" w14:textId="77777777" w:rsidR="00A908DC" w:rsidRDefault="00000000">
      <w:r>
        <w:t>In addition, expected business performance may vary if the key performance indicators and risks and opportunities presented in this annual report turn out to be different from current expectations, or additional risks and opportunities or other factors emerge that affect the development of the business.</w:t>
      </w:r>
    </w:p>
    <w:p w14:paraId="1101D1E5" w14:textId="77777777" w:rsidR="00A908DC" w:rsidRDefault="00000000">
      <w:r>
        <w:t>Since the main opportunities and risks arising from the operating activities have been set out in the report on opportunities and risks, we would like to outline the expected future developments in the following.</w:t>
      </w:r>
    </w:p>
    <w:p w14:paraId="0DDDF08C" w14:textId="77777777" w:rsidR="00A908DC" w:rsidRDefault="00000000">
      <w:r>
        <w:t>We expect Combined Management Report Report on Expected Developments 66 a noticeable to significant increase in France and the United Kingdom.</w:t>
      </w:r>
    </w:p>
    <w:p w14:paraId="1661EC3D" w14:textId="77777777" w:rsidR="00A908DC" w:rsidRDefault="00000000">
      <w:r>
        <w:t>The number of new contracts will accordingly also increase very sharply year-on-year to the extent that, as a result of the structural changes implemented, current contracts will also be much higher than in the reporting year despite the loss of the current contracts of the joint ventures in the Netherlands and Slovakia that are to be carved out from the Volkswagen Bank GmbH Group in 2024.</w:t>
      </w:r>
    </w:p>
    <w:p w14:paraId="45B092ED" w14:textId="77777777" w:rsidR="00A908DC" w:rsidRDefault="00000000">
      <w:r>
        <w:lastRenderedPageBreak/>
        <w:t>Business Combined Management Report Report on Expected Developments 67 volume will follow the same pattern and is therefore expected to be much higher than in 2023.</w:t>
      </w:r>
    </w:p>
    <w:p w14:paraId="2201571E" w14:textId="77777777" w:rsidR="00A908DC" w:rsidRDefault="00000000">
      <w:r>
        <w:t>A highly scalable product as a service approach allows clients to provide financing solutions for e-commerce and over-the-counter business in their own name quickly with no direct development or operating costs.</w:t>
      </w:r>
    </w:p>
    <w:p w14:paraId="2877E0EF" w14:textId="77777777" w:rsidR="00A908DC" w:rsidRDefault="00000000">
      <w:r>
        <w:t>The estimates and assumptions used by management have been made, in particular, on the basis of assumptions relating to macroeconomic trends including energy prices and inflation and developments in the automotive markets, financial markets specifically including interest rate trends and underlying legal conditions.</w:t>
      </w:r>
    </w:p>
    <w:p w14:paraId="19FCEBCC" w14:textId="77777777" w:rsidR="00A908DC" w:rsidRDefault="00000000">
      <w:r>
        <w:t>These and other assumptions are explained in detail in the report on expected developments, which is part of the management report.</w:t>
      </w:r>
    </w:p>
    <w:p w14:paraId="16EEA2B7" w14:textId="77777777" w:rsidR="00A908DC" w:rsidRDefault="00000000">
      <w:r>
        <w:t>The aim of capital management in the Volkswagen Bank GmbH Group is to support the Banks credit rating by ensuring that the Group has adequate capital backing, to obtain capital for the growth planned for the next few years and to satisfy regulatory capital requirements.</w:t>
      </w:r>
    </w:p>
    <w:p w14:paraId="5BE50365" w14:textId="77777777" w:rsidR="00A908DC" w:rsidRDefault="00000000">
      <w:r>
        <w:t>Corporate actions implemented by the parent company of Volkswagen Bank GmbH generally have an impact on both IFRS equity and regulatory capital.</w:t>
      </w:r>
    </w:p>
    <w:p w14:paraId="7BC02D61" w14:textId="77777777" w:rsidR="00A908DC" w:rsidRDefault="00000000">
      <w:r>
        <w:t>The wording of the profit-and-loss transfer agreement has been amended to establish indisputable compliance with the CRR eligibility criteria.</w:t>
      </w:r>
    </w:p>
    <w:p w14:paraId="1699CD77" w14:textId="77777777" w:rsidR="00A908DC" w:rsidRDefault="00000000">
      <w:r>
        <w:t>To ensure compliance with these requirements at all times, the Group has established a planning procedure that is integrated into the internal reporting system.</w:t>
      </w:r>
    </w:p>
    <w:p w14:paraId="256BFF03" w14:textId="77777777" w:rsidR="00A908DC" w:rsidRDefault="00000000">
      <w:r>
        <w:t>This ensured that the minimum regulatory capital requirements continued to be satisfied at all times in the reporting period.</w:t>
      </w:r>
    </w:p>
    <w:p w14:paraId="3B22D315" w14:textId="77777777" w:rsidR="00A908DC" w:rsidRDefault="00000000">
      <w:r>
        <w:t>The general rules governing the Group-wide currency and interest rate hedging policy are specified in internal Group guidelines and satisfy the Minimum Requirements for Risk Management MaRisk Mindestanforderungen an das Risikomanagement issued by the German Federal Financial Supervisory Authority BaFin.</w:t>
      </w:r>
    </w:p>
    <w:p w14:paraId="4208A0EC" w14:textId="77777777" w:rsidR="00A908DC" w:rsidRDefault="00000000">
      <w:r>
        <w:t>In all material respects, this group management report is consistent with the consolidated financial statements, complies with German legal requirements and appropriately presents the opportunities and risks of future development.</w:t>
      </w:r>
    </w:p>
    <w:p w14:paraId="601264D6" w14:textId="77777777" w:rsidR="00A908DC" w:rsidRDefault="00000000">
      <w:r>
        <w:t>We selected our Independent Auditors Report 192 sample applying a risk-based approach, using in particular criteria such as the inclusion of loans on watch lists for increased default risks, rating class, the level of exposure and the provision for credit risks already recognized.</w:t>
      </w:r>
    </w:p>
    <w:p w14:paraId="3CB33D2F" w14:textId="77777777" w:rsidR="00A908DC" w:rsidRDefault="00000000">
      <w:r>
        <w:lastRenderedPageBreak/>
        <w:t>In light of the significant volume of Stage 1 and 2 non-defaulted loans to and receivables from customers underlying the model-based determination of the provisions as well as the increased uncertainty and judgment involved in the macroeconomic scenarios due to the direct and indirect impact, which cannot be conclusively assessed, of the rise in energy prices, inflation and the sustained higher level of interest rates, as well as the persistent effects of supply bottlenecks in the automotive industry despite the ongoing recovery, we consider the macroeconomic scenarios and the specific credit risk parameters derived therefrom in connection with the determination of the provisions for Stage 1 and 2 non-defaulted loans to and receivables from customers to be a key audit matter.</w:t>
      </w:r>
    </w:p>
    <w:p w14:paraId="433F0CF0" w14:textId="77777777" w:rsidR="00A908DC" w:rsidRDefault="00000000">
      <w:r>
        <w:t>In all other respects, the executive directors are responsible for the other information.</w:t>
      </w:r>
    </w:p>
    <w:p w14:paraId="64E03D5C" w14:textId="77777777" w:rsidR="00A908DC" w:rsidRDefault="00000000">
      <w:r>
        <w:t>In preparing the consolidated financial statements, the executive directors are responsible for assessing the Groups ability to continue as a going concern.</w:t>
      </w:r>
    </w:p>
    <w:p w14:paraId="099EDB07" w14:textId="77777777" w:rsidR="00A908DC" w:rsidRDefault="00000000">
      <w:r>
        <w:t>Furthermore, the executive directors are responsible for the preparation of the group management report that, as a whole, provides an appropriate view of the Groups position and is, in all material respects, consistent with the consolidated financial statements, complies with German legal requirements, and appropriately presents the opportunities and risks of future development.</w:t>
      </w:r>
    </w:p>
    <w:p w14:paraId="2E453E89" w14:textId="77777777" w:rsidR="00A908DC" w:rsidRDefault="00000000">
      <w:r>
        <w:t>We exercise professional judgment and maintain professional skepticism throughout the audit.</w:t>
      </w:r>
    </w:p>
    <w:p w14:paraId="317CE0F1" w14:textId="77777777" w:rsidR="00A908DC" w:rsidRDefault="00000000">
      <w:r>
        <w:t>We are responsible for the direction, supervision and performance of the group audit.</w:t>
      </w:r>
    </w:p>
    <w:p w14:paraId="1ECE48DB" w14:textId="77777777" w:rsidR="00A908DC" w:rsidRDefault="00000000">
      <w:r>
        <w:t>In addition, the executive directors of the Company are responsible for such internal control as they have determined necessary to enable the preparation of ESEF documents that are free from material intentional or unintentional non-compliance with the requirements of Sec.</w:t>
      </w:r>
    </w:p>
    <w:p w14:paraId="6ACDC216" w14:textId="77777777" w:rsidR="00A908DC" w:rsidRDefault="00000000">
      <w:r>
        <w:t>The Supervisory Board is responsible for overseeing the process for preparing the ESEF documents as part of the financial reporting process.</w:t>
      </w:r>
    </w:p>
    <w:p w14:paraId="729BBF99" w14:textId="77777777" w:rsidR="00A908DC" w:rsidRDefault="00000000">
      <w:r>
        <w:t>Group auditors responsibilities for the assurance work on the ESEF documents Our objective is to obtain reasonable assurance about whether the ESEF documents are free from material intentional or unintentional non-compliance with the requirements of Sec.</w:t>
      </w:r>
    </w:p>
    <w:p w14:paraId="5C12494A" w14:textId="77777777" w:rsidR="00A908DC" w:rsidRDefault="00000000">
      <w:r>
        <w:t>MOBILITY2030 sets out to realize this vision by focusing on the strategic dimensions of customer loyalty, vehicles, performance, data and technology, and sustainability.</w:t>
      </w:r>
    </w:p>
    <w:p w14:paraId="44928DB3" w14:textId="77777777" w:rsidR="00A908DC" w:rsidRDefault="00000000">
      <w:r>
        <w:t>The values referred to courage, trust and customer focus are intended to guide employees of Volkswagen Bank GmbH in their everyday activities and help motivate them to do their best.</w:t>
      </w:r>
    </w:p>
    <w:p w14:paraId="4552E27F" w14:textId="77777777" w:rsidR="00A908DC" w:rsidRDefault="00000000">
      <w:r>
        <w:t xml:space="preserve">Human Resources considers itself a strategic partner of the business divisions in this context and regards the new HR strategy and its focus on key HR activities such as talent </w:t>
      </w:r>
      <w:r>
        <w:lastRenderedPageBreak/>
        <w:t>acquisition, personnel development, future working culture and modes of working, HR planning and analysis, and HR digitalization as part of its contribution to implementing the higher-level MOBILITY2030 strategy.</w:t>
      </w:r>
    </w:p>
    <w:p w14:paraId="17C7ED25" w14:textId="77777777" w:rsidR="00A908DC" w:rsidRDefault="00000000">
      <w:r>
        <w:t>The 17 specific initiatives set out in the strategy are to be pursued in combination with the overarching priorities of diversity, integrity, compliance and international mindset.</w:t>
      </w:r>
    </w:p>
    <w:p w14:paraId="6BE15119" w14:textId="77777777" w:rsidR="00A908DC" w:rsidRDefault="00000000">
      <w:r>
        <w:t>Skilled, committed employees are the cornerstone of success and Volkswagen Bank GmbH accordingly enables its employees to develop their skills continuously.</w:t>
      </w:r>
    </w:p>
    <w:p w14:paraId="3DF10FD0" w14:textId="77777777" w:rsidR="00A908DC" w:rsidRDefault="00000000">
      <w:r>
        <w:t>One of the initiatives within the HR strategy covers the design and implementation of a strategic HR planning system that responds to changes in requirements for employees and enables the Bank to complete detailed analyses based on job profiles, skills and qualifications looking at both present and future needs to predict newly emerging roles and skills requirements in addition to the usual quantitative HR planning activities.</w:t>
      </w:r>
    </w:p>
    <w:p w14:paraId="63F86F69" w14:textId="77777777" w:rsidR="00A908DC" w:rsidRDefault="00000000">
      <w:r>
        <w:t>Furthermore, special governance functions Remuneration Committee and Remuneration Officer were used to ensure that the adequacy of the remuneration systems was continuously monitored.</w:t>
      </w:r>
    </w:p>
    <w:p w14:paraId="4CD6E89C" w14:textId="77777777" w:rsidR="00A908DC" w:rsidRDefault="00000000">
      <w:r>
        <w:t>The remuneration strategy and hence the remuneration systems of Volkswagen Bank GmbH are informed by and help to implement the institutions business and risk strategy and are geared toward ensuring sustainability and constancy.</w:t>
      </w:r>
    </w:p>
    <w:p w14:paraId="6BA67DDD" w14:textId="77777777" w:rsidR="00A908DC" w:rsidRDefault="00000000">
      <w:r>
        <w:t>Under this initiative, Volkswagen Bank GmbH has pledged to respect and value diversity, and to promote employees according to their skills and ability.</w:t>
      </w:r>
    </w:p>
    <w:p w14:paraId="6D377547" w14:textId="77777777" w:rsidR="00A908DC" w:rsidRDefault="00000000">
      <w:r>
        <w:t>In 2018, Volkswagen Bank GmbH adopted a Diversity Policy to reinforce this approach and enshrined the policy in its organizational manual.</w:t>
      </w:r>
    </w:p>
    <w:p w14:paraId="039B1783" w14:textId="77777777" w:rsidR="00A908DC" w:rsidRDefault="00000000">
      <w:r>
        <w:t>The Diversity Policy ensures that diversity is recognized as the norm rather than an exception.</w:t>
      </w:r>
    </w:p>
    <w:p w14:paraId="6FE1B3A9" w14:textId="77777777" w:rsidR="00A908DC" w:rsidRDefault="00000000">
      <w:r>
        <w:t>It also considered the status of ESG risk and the status of the Sustainability project, approved the capital increase for Credi2 GmbH Vienna, Austria, and received updates on and discussed the IT situation in France and the status of the phishing attacks on customers in direct banking business.</w:t>
      </w:r>
    </w:p>
    <w:p w14:paraId="40B647A4" w14:textId="77777777" w:rsidR="00A908DC" w:rsidRDefault="00000000">
      <w:r>
        <w:t>The Audit Committee received a presentation on the compliance report and discussed its content in its meeting on June 12, 2023.</w:t>
      </w:r>
    </w:p>
    <w:p w14:paraId="5F74FDAA" w14:textId="3818BB0A" w:rsidR="00A908DC" w:rsidRDefault="00000000">
      <w:r>
        <w:t xml:space="preserve">At its meeting on February 23, 2023, the Risk Committee discussed the report on the results of the 2022 audit by Prüfungsverband deutscher Banken </w:t>
      </w:r>
      <w:r w:rsidR="00001038">
        <w:t>d</w:t>
      </w:r>
      <w:r>
        <w:t>eposit protection audit and the auditors findings relating to risk management in the 2022 audit of the annual financial statements.</w:t>
      </w:r>
    </w:p>
    <w:sectPr w:rsidR="00A908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16919686">
    <w:abstractNumId w:val="8"/>
  </w:num>
  <w:num w:numId="2" w16cid:durableId="337003759">
    <w:abstractNumId w:val="6"/>
  </w:num>
  <w:num w:numId="3" w16cid:durableId="1921215919">
    <w:abstractNumId w:val="5"/>
  </w:num>
  <w:num w:numId="4" w16cid:durableId="80564863">
    <w:abstractNumId w:val="4"/>
  </w:num>
  <w:num w:numId="5" w16cid:durableId="271283525">
    <w:abstractNumId w:val="7"/>
  </w:num>
  <w:num w:numId="6" w16cid:durableId="1065496265">
    <w:abstractNumId w:val="3"/>
  </w:num>
  <w:num w:numId="7" w16cid:durableId="1153377351">
    <w:abstractNumId w:val="2"/>
  </w:num>
  <w:num w:numId="8" w16cid:durableId="277835333">
    <w:abstractNumId w:val="1"/>
  </w:num>
  <w:num w:numId="9" w16cid:durableId="995187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038"/>
    <w:rsid w:val="00034616"/>
    <w:rsid w:val="0006063C"/>
    <w:rsid w:val="0015074B"/>
    <w:rsid w:val="0029639D"/>
    <w:rsid w:val="00326F90"/>
    <w:rsid w:val="004F5755"/>
    <w:rsid w:val="00A908DC"/>
    <w:rsid w:val="00AA1D8D"/>
    <w:rsid w:val="00B47730"/>
    <w:rsid w:val="00CB0664"/>
    <w:rsid w:val="00F41D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94A1D"/>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3565</Words>
  <Characters>20321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cp:revision>
  <dcterms:created xsi:type="dcterms:W3CDTF">2013-12-23T23:15:00Z</dcterms:created>
  <dcterms:modified xsi:type="dcterms:W3CDTF">2025-08-03T12:15:00Z</dcterms:modified>
  <cp:category/>
</cp:coreProperties>
</file>