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D8BF" w14:textId="77777777" w:rsidR="003A5FF2" w:rsidRDefault="00000000">
      <w:r>
        <w:t>The restructuring program aims to lay the foundation for the successful implementation of the Groups strategy in the mobility sector, taking into account the regulatory framework.</w:t>
      </w:r>
    </w:p>
    <w:p w14:paraId="3B27DFFE" w14:textId="77777777" w:rsidR="003A5FF2" w:rsidRDefault="00000000">
      <w:r>
        <w:t>Operational, treasury, regulatory and risk management matters remain located within Volkswagen Bank GmbH.</w:t>
      </w:r>
    </w:p>
    <w:p w14:paraId="03C8ED7E" w14:textId="77777777" w:rsidR="003A5FF2" w:rsidRDefault="00000000">
      <w:r>
        <w:t>Accounting &amp; Controlling, Human Resources &amp; Organization and Legal, Integrity &amp; Compliance were removed from Volkswagen Bank GmbH and integrated into Volkswagen Financial Services AG as of July 1, 2024.</w:t>
      </w:r>
    </w:p>
    <w:p w14:paraId="4E4BA28F" w14:textId="77777777" w:rsidR="003A5FF2" w:rsidRDefault="00000000">
      <w:r>
        <w:t>The achievement of the targets for the proportion of women is assessed from a Group perspective, taking into account the fact that the professional development of relevant employees typically takes place across the Group with employees moving between individual Group companies in the course of their career development.</w:t>
      </w:r>
    </w:p>
    <w:p w14:paraId="46A83319" w14:textId="77777777" w:rsidR="003A5FF2" w:rsidRDefault="00000000">
      <w:r>
        <w:t>In this context, Volkswagen AG is also responsible for managing environmental, social and corporate governance issues throughout the Group.</w:t>
      </w:r>
    </w:p>
    <w:p w14:paraId="3DBD162E" w14:textId="77777777" w:rsidR="003A5FF2" w:rsidRDefault="00000000">
      <w:r>
        <w:t>Therefore 2024 saw a significant increase in the development of loans and receivables volumes subject to credit risk.</w:t>
      </w:r>
    </w:p>
    <w:p w14:paraId="1A08C339" w14:textId="77777777" w:rsidR="003A5FF2" w:rsidRDefault="00000000">
      <w:r>
        <w:t>The development of residual value risks continues to be closely monitored, with measures tailored to requirements being derived.</w:t>
      </w:r>
    </w:p>
    <w:p w14:paraId="5D361362" w14:textId="77777777" w:rsidR="003A5FF2" w:rsidRDefault="00000000">
      <w:r>
        <w:t>Whereas the focus in the previous year was still on measures to combat inflation, the four cuts in key interest rates in the current year reflected the declining inflation and the weak economic development.</w:t>
      </w:r>
    </w:p>
    <w:p w14:paraId="7E9280D9" w14:textId="77777777" w:rsidR="003A5FF2" w:rsidRDefault="00000000">
      <w:r>
        <w:t>The overhead ratio has only been used as a financial key performance indicator since 2024 and was therefore not projected for 2024 in the 2023 Report on Expected Developments.</w:t>
      </w:r>
    </w:p>
    <w:p w14:paraId="5565F466" w14:textId="77777777" w:rsidR="003A5FF2" w:rsidRDefault="00000000">
      <w:r>
        <w:t>The year-on-year change in the regulatory capital ratios CET1 capital ratio, Tier 1 capital ratio and total capital ratio is largely attributable to the increase in total risk exposure having more than offset the increase in own funds.</w:t>
      </w:r>
    </w:p>
    <w:p w14:paraId="435DD8BA" w14:textId="77777777" w:rsidR="003A5FF2" w:rsidRDefault="00000000">
      <w:r>
        <w:t>Compliance with this requirement is determined and continuously monitored by the liquidity risk management department.</w:t>
      </w:r>
    </w:p>
    <w:p w14:paraId="02503216" w14:textId="77777777" w:rsidR="003A5FF2" w:rsidRDefault="00000000">
      <w:r>
        <w:t>The macroeconomic environment could also give rise to opportunities for the Volkswagen Bank GmbH Group if, for example, actual inflation turns out to be more positive than forecast or geopolitical tensions ease, with a positive impact on the economic development.</w:t>
      </w:r>
    </w:p>
    <w:p w14:paraId="599E39A7" w14:textId="77777777" w:rsidR="003A5FF2" w:rsidRDefault="00000000">
      <w:r>
        <w:t>It sees further opportunities in the development Combined Management Report Report on Opportunities and Risks 30 of innovative products that are geared to the changed mobility requirements of customers.</w:t>
      </w:r>
    </w:p>
    <w:p w14:paraId="26169656" w14:textId="77777777" w:rsidR="003A5FF2" w:rsidRDefault="00000000">
      <w:r>
        <w:t>The risk management system comprises an integrated framework of risk principles, organizational structures and processes for assessing and monitoring risks.</w:t>
      </w:r>
    </w:p>
    <w:p w14:paraId="4B92237A" w14:textId="77777777" w:rsidR="003A5FF2" w:rsidRDefault="00000000">
      <w:r>
        <w:lastRenderedPageBreak/>
        <w:t>Volkswagen Bank GmbH has implemented suitable procedures to make sure that the risk management system is fit for purpose.</w:t>
      </w:r>
    </w:p>
    <w:p w14:paraId="4067EF0A" w14:textId="77777777" w:rsidR="003A5FF2" w:rsidRDefault="00000000">
      <w:r>
        <w:t>This function includes drawing up risk policy guidelines, developing and maintaining methodologies and processes relevant to risk management, and issuing and monitoring international framework standards for the procedures to be used across Europe.</w:t>
      </w:r>
    </w:p>
    <w:p w14:paraId="6E4A25CD" w14:textId="77777777" w:rsidR="003A5FF2" w:rsidRDefault="00000000">
      <w:r>
        <w:t>Risk Management is therefore responsible for identifying possible risks, analyzing, quantifying and evaluating risks, and for determining the resulting measures to respond to the risks.</w:t>
      </w:r>
    </w:p>
    <w:p w14:paraId="2D991B24" w14:textId="77777777" w:rsidR="003A5FF2" w:rsidRDefault="00000000">
      <w:r>
        <w:t>The risk strategy describes the main risk management goals and action plans for each category of risk, taking into account the business policy focus, risk tolerance and risk appetite.</w:t>
      </w:r>
    </w:p>
    <w:p w14:paraId="65B2FCAF" w14:textId="77777777" w:rsidR="003A5FF2" w:rsidRDefault="00000000">
      <w:r>
        <w:t>The objective of the normative perspective is to ensure that the Volkswagen Bank GmbH Group meets all relevant regulatory capital ratio requirements in particular, the requirements for the total capital ratio and CET1 capital ratio in the planning period.</w:t>
      </w:r>
    </w:p>
    <w:p w14:paraId="1E949FCA" w14:textId="77777777" w:rsidR="003A5FF2" w:rsidRDefault="00000000">
      <w:r>
        <w:t>To this end, the Volkswagen Bank GmbH Group analyzes a baseline scenario and a multidimensional adverse scenario over a forward-looking time horizon of three years beyond the current year and constantly monitors its compliance with the regulatory capital requirements and its internally specified early warning thresholds.</w:t>
      </w:r>
    </w:p>
    <w:p w14:paraId="46C2D688" w14:textId="77777777" w:rsidR="003A5FF2" w:rsidRDefault="00000000">
      <w:r>
        <w:t>Based on the goals of the Sustainability dimension as part of the corporate strategy MOBILITY2030 that has been derived for Volkswagen Financial Services AG and for the Volkswagen Bank GmbH Group, the risk strategy sets out the fundamental understanding for handling ESG risks and describes the risk strategy guidelines for the operational framework to address this issue.</w:t>
      </w:r>
    </w:p>
    <w:p w14:paraId="3BAD0A8E" w14:textId="77777777" w:rsidR="003A5FF2" w:rsidRDefault="00000000">
      <w:r>
        <w:t>These strategies are complemented by the separate sustainability strategy adopted at the beginning of 2024.</w:t>
      </w:r>
    </w:p>
    <w:p w14:paraId="787AB9AE" w14:textId="77777777" w:rsidR="003A5FF2" w:rsidRDefault="00000000">
      <w:r>
        <w:t>In order to take into account stakeholders changing requirements with regard to sustainability at the Volkswagen Bank GmbH Group, in recent years the Volkswagen Bank GmbH Group has gradually integrated ESG risks into the risk management framework as an integral part in the context of a comprehensive sustainability project.</w:t>
      </w:r>
    </w:p>
    <w:p w14:paraId="17324F16" w14:textId="77777777" w:rsidR="003A5FF2" w:rsidRDefault="00000000">
      <w:r>
        <w:t>Potential hazards to employees, buildings or technology particularly from environmental factors and the means used to protect against them are also analyzed continuously and included in the impact analyses so that remedial actions can be defined and implemented if necessary.</w:t>
      </w:r>
    </w:p>
    <w:p w14:paraId="0010B0AD" w14:textId="77777777" w:rsidR="003A5FF2" w:rsidRDefault="00000000">
      <w:r>
        <w:t>The recovery plan covers matters including a system to ensure that adverse developments are identified promptly, and the possible measures that could be used by the Group in different stress scenarios to safeguard or restore a robust financial footing.</w:t>
      </w:r>
    </w:p>
    <w:p w14:paraId="1B567A5F" w14:textId="77777777" w:rsidR="003A5FF2" w:rsidRDefault="00000000">
      <w:r>
        <w:lastRenderedPageBreak/>
        <w:t>At the moment, however, this is not likely to have a positive impact on the regulatory framework requirements, except for selective improvements.</w:t>
      </w:r>
    </w:p>
    <w:p w14:paraId="5FA157B7" w14:textId="77777777" w:rsidR="003A5FF2" w:rsidRDefault="00000000">
      <w:r>
        <w:t>DORA is intended to establish a standardized framework for the effective and allinclusive management of cybersecurity risk and ICT risk for financial market participants and critical ICT service providers as defined in the Regulation.</w:t>
      </w:r>
    </w:p>
    <w:p w14:paraId="4BAF00B7" w14:textId="77777777" w:rsidR="003A5FF2" w:rsidRDefault="00000000">
      <w:r>
        <w:t>It aims to implement regulatory requirements set out in DORA and to strengthen the resilience of Volkswagen Bank GmbH and its subsidiary Volkswagen Leasing GmbH against cyber risks.</w:t>
      </w:r>
    </w:p>
    <w:p w14:paraId="13BB4247" w14:textId="6E658869" w:rsidR="003A5FF2" w:rsidRDefault="00000000">
      <w:r>
        <w:t xml:space="preserve">The Guide focuses on seven key areas, </w:t>
      </w:r>
      <w:proofErr w:type="gramStart"/>
      <w:r>
        <w:t>a the</w:t>
      </w:r>
      <w:proofErr w:type="gramEnd"/>
      <w:r>
        <w:t xml:space="preserve"> responsibilities of the management body, b the scope of application of the data governance framework, c key roles and responsibilities for data governance, d the implementation of an integrated data architecture at group level, </w:t>
      </w:r>
      <w:r w:rsidR="00584B39">
        <w:t>t</w:t>
      </w:r>
      <w:r>
        <w:t>he effectiveness of data quality controls, f the timeliness of internal risk reporting and g implementation programs.</w:t>
      </w:r>
    </w:p>
    <w:p w14:paraId="11EA5073" w14:textId="77777777" w:rsidR="003A5FF2" w:rsidRDefault="00000000">
      <w:r>
        <w:t>It is also tackling the subject from the governance side, with a Head of Data Governance ensuring there is an appropriate governance framework in place and that data quality will be adequate for regulatory reporting and internal management purposes.</w:t>
      </w:r>
    </w:p>
    <w:p w14:paraId="651CF729" w14:textId="77777777" w:rsidR="003A5FF2" w:rsidRDefault="00000000">
      <w:r>
        <w:t>Factoring in climate and environmental risks, including transition risk, in risk management will continue to play a significant role in light of the stricter regulatory requirements anticipated.</w:t>
      </w:r>
    </w:p>
    <w:p w14:paraId="2342C041" w14:textId="77777777" w:rsidR="003A5FF2" w:rsidRDefault="00000000">
      <w:r>
        <w:t>While large amounts of data are already collected to identify and assess any climate and environmental risks, be it for internal risk management or for disclosure purposes, it will become more important to ensure the relevance and quality of this data so it can be managed in line with transition plans.</w:t>
      </w:r>
    </w:p>
    <w:p w14:paraId="52D647B7" w14:textId="77777777" w:rsidR="003A5FF2" w:rsidRDefault="00000000">
      <w:r>
        <w:t>Vehicles with combustion engines will still be financed in the future, so measures to offset these emissions are planned as part of the sustainability strategy.</w:t>
      </w:r>
    </w:p>
    <w:p w14:paraId="018A29FA" w14:textId="77777777" w:rsidR="003A5FF2" w:rsidRDefault="00000000">
      <w:r>
        <w:t>The sustainability and transformation strategy and the transition plans with defined target dates for reducing CO2 emissions will also be covered by the disclosure requirements.</w:t>
      </w:r>
    </w:p>
    <w:p w14:paraId="2C78FDEA" w14:textId="77777777" w:rsidR="003A5FF2" w:rsidRDefault="00000000">
      <w:r>
        <w:t>Whereas a large part of the requirements for managing ESG risks is already known from the EBA Guidelines on climate-related and environmental risks and from Combined Management Report Report on Opportunities and Risks 45 the MaRisk published at the end of June 2023, these guidelines are noteworthy for the fact that they define very binding standards in some cases that can be used in the future to measure and verify whether the relevant requirement for managing ESG risks has been met, even though the EBA has somewhat broadened the scope for appropriate, proportional implementation in some areas compared with the consultation paper.</w:t>
      </w:r>
    </w:p>
    <w:p w14:paraId="38B1C649" w14:textId="77777777" w:rsidR="003A5FF2" w:rsidRDefault="00000000">
      <w:r>
        <w:t xml:space="preserve">Accordingly, the management body will, following implementation at the national level, be responsible for the development of specific plans with quantifiable objectives to monitor </w:t>
      </w:r>
      <w:r>
        <w:lastRenderedPageBreak/>
        <w:t>and mitigate physical and transition risks resulting over the short, medium and long term from the business model and strategy of the institution or group not being consistent with the relevant political objectives of the European Union or more general trends to transition to a more sustainable economy with regard to ecological, social and governance factors.</w:t>
      </w:r>
    </w:p>
    <w:p w14:paraId="1710C06B" w14:textId="77777777" w:rsidR="003A5FF2" w:rsidRDefault="00000000">
      <w:r>
        <w:t>Furthermore, the transition plans must be consistent with the business strategy, risk appetite, ICAAP and the other risk management processes.</w:t>
      </w:r>
    </w:p>
    <w:p w14:paraId="78B2753A" w14:textId="77777777" w:rsidR="003A5FF2" w:rsidRDefault="00000000">
      <w:r>
        <w:t>With regard to the policies on the composition and functioning of the bodies, in future the ECB expects a suitability policy and diversity policy to be implemented, in particular.</w:t>
      </w:r>
    </w:p>
    <w:p w14:paraId="7148204A" w14:textId="77777777" w:rsidR="003A5FF2" w:rsidRDefault="00000000">
      <w:r>
        <w:t>A large number of expectations and recommendations set out in the consultation paper were heavily criticized by the banks, as some of them go well beyond existing regulatory requirements and it is at times questionable whether they will really achieve the intended strengthening of governance, although this is welcome in principle.</w:t>
      </w:r>
    </w:p>
    <w:p w14:paraId="770B9836" w14:textId="77777777" w:rsidR="003A5FF2" w:rsidRDefault="00000000">
      <w:r>
        <w:t>All the units involved such as Risk Management, Controlling, Accounting, Reporting, Legal Affairs, Compliance, Antitrust Law, Treasury, Payments, IT must be integrated into the process.</w:t>
      </w:r>
    </w:p>
    <w:p w14:paraId="12DB4E06" w14:textId="77777777" w:rsidR="003A5FF2" w:rsidRDefault="00000000">
      <w:r>
        <w:t>These constraints form the mandatory outer framework of the central risk management system, within which the divisionsmarkets can operate in terms of their business policy activities, planning, decisions, etc.</w:t>
      </w:r>
    </w:p>
    <w:p w14:paraId="024D0025" w14:textId="77777777" w:rsidR="003A5FF2" w:rsidRDefault="00000000">
      <w:r>
        <w:t>All told, the focus of interest rate risk management is on the present-value perspective.</w:t>
      </w:r>
    </w:p>
    <w:p w14:paraId="5F0B3540" w14:textId="77777777" w:rsidR="003A5FF2" w:rsidRDefault="00000000">
      <w:r>
        <w:t>Risk Management is responsible for monitoring and reporting on interest rate risk.</w:t>
      </w:r>
    </w:p>
    <w:p w14:paraId="4C06BFBA" w14:textId="77777777" w:rsidR="003A5FF2" w:rsidRDefault="00000000">
      <w:r>
        <w:t>As soon as limit utilization increases, risk-relieving measures are agreed between Risk Management and Treasury.</w:t>
      </w:r>
    </w:p>
    <w:p w14:paraId="39F62D7E" w14:textId="77777777" w:rsidR="003A5FF2" w:rsidRDefault="00000000">
      <w:r>
        <w:t>Based on the resulting potential residual value risk, various measures are initiated as part of a proactive risk management approach to limit the residual value risk.</w:t>
      </w:r>
    </w:p>
    <w:p w14:paraId="343C1C55" w14:textId="77777777" w:rsidR="003A5FF2" w:rsidRDefault="00000000">
      <w:r>
        <w:t>Due to technological developments, the residual values of electric vehicles of the first generation have Combined Management Report Report on Opportunities and Risks 58 come under pressure.</w:t>
      </w:r>
    </w:p>
    <w:p w14:paraId="0117AF64" w14:textId="77777777" w:rsidR="003A5FF2" w:rsidRDefault="00000000">
      <w:r>
        <w:t>The increase in list prices on account of inflation has additionally contributed to this development.</w:t>
      </w:r>
    </w:p>
    <w:p w14:paraId="04B03FE3" w14:textId="77777777" w:rsidR="003A5FF2" w:rsidRDefault="00000000">
      <w:r>
        <w:t>On the basis of this mandatory outer framework the divisionsmarkets manage and monitor their business policy activities, planning and decisions, in compliance with their assigned authority.</w:t>
      </w:r>
    </w:p>
    <w:p w14:paraId="788F8F8D" w14:textId="77777777" w:rsidR="003A5FF2" w:rsidRDefault="00000000">
      <w:r>
        <w:t xml:space="preserve">The underlying Combined Management Report Report on Opportunities and Risks 60 scenario assumes that Volkswagen Bank GmbH is unable to participate in the electric </w:t>
      </w:r>
      <w:r>
        <w:lastRenderedPageBreak/>
        <w:t>mobility transformation, a development it maps with additional increases in risk parameters.</w:t>
      </w:r>
    </w:p>
    <w:p w14:paraId="36830062" w14:textId="77777777" w:rsidR="003A5FF2" w:rsidRDefault="00000000">
      <w:r>
        <w:t>The objective of operational risk management is to present operational risks transparently and to initiate precautionary or corrective measures with the aim of preventing or, when this is not possible, mitigating the risks or losses.</w:t>
      </w:r>
    </w:p>
    <w:p w14:paraId="5AB27DE6" w14:textId="77777777" w:rsidR="003A5FF2" w:rsidRDefault="00000000">
      <w:r>
        <w:t>The local operational risk units in Germany and abroad are responsible for the local operational risk management as the first line of defense.</w:t>
      </w:r>
    </w:p>
    <w:p w14:paraId="0C94D9A4" w14:textId="77777777" w:rsidR="003A5FF2" w:rsidRDefault="00000000">
      <w:r>
        <w:t>In this context, it is important to observe the central requirements of risk management with regard to methodology and procedures central operational risk unit and the operational risk units responsible for specific risk categories governance functions with expert knowledge, risk owners for individual causes of risk, which act as the second line of defense.</w:t>
      </w:r>
    </w:p>
    <w:p w14:paraId="456E306F" w14:textId="27A5FFE9" w:rsidR="003A5FF2" w:rsidRDefault="00000000">
      <w:r>
        <w:t xml:space="preserve">Process risks compliance risk </w:t>
      </w:r>
      <w:r w:rsidR="00A815CA">
        <w:t>t</w:t>
      </w:r>
      <w:r>
        <w:t>o counter the risk of violations of rules, regulations and laws compliance risk, a compliance and integrity function has been established in the Volkswagen Bank GmbH Group whose task it is to specify and implement risk-mitigating measures in the role of a governance function.</w:t>
      </w:r>
    </w:p>
    <w:p w14:paraId="2F44F395" w14:textId="77777777" w:rsidR="003A5FF2" w:rsidRDefault="00000000">
      <w:r>
        <w:t>The compliance function is committed to ensuring compliance with laws, other legal requirements, internal rules and the organizations own stated values and to creating and fostering an appropriate compliance culture.</w:t>
      </w:r>
    </w:p>
    <w:p w14:paraId="03416C21" w14:textId="77777777" w:rsidR="003A5FF2" w:rsidRDefault="00000000">
      <w:r>
        <w:t>It is also the responsibility of the integrity function, on the basis of an integrity management system, to raise awareness of the ethical principles, the code of conduct and the need for compliance, and to help employees choose the right course of action, responsibly and steadfastly, driven by their own personal conviction.</w:t>
      </w:r>
    </w:p>
    <w:p w14:paraId="7FDDEF06" w14:textId="77777777" w:rsidR="003A5FF2" w:rsidRDefault="00000000">
      <w:r>
        <w:t>As a component of the compliance function, the role of the compliance officer is to work toward implementing effective procedures to ensure compliance with material regulations for the institution and Combined Management Report Report on Opportunities and Risks 62 toward establishing appropriate controls.</w:t>
      </w:r>
    </w:p>
    <w:p w14:paraId="0027AC80" w14:textId="77777777" w:rsidR="003A5FF2" w:rsidRDefault="00000000">
      <w:r>
        <w:t>This is achieved, in particular, by specifying mandatory compliance requirements for legal stipulations classified as material.</w:t>
      </w:r>
    </w:p>
    <w:p w14:paraId="0D116386" w14:textId="77777777" w:rsidR="003A5FF2" w:rsidRDefault="00000000">
      <w:r>
        <w:t>These requirements include documenting responsibilities and processes, establishing controls to the extent required and raising employee awareness of pertinent rules so that employees comply with the rules as a matter of course, reflecting a fully functioning compliance culture.</w:t>
      </w:r>
    </w:p>
    <w:p w14:paraId="4AB99273" w14:textId="5E93E8A5" w:rsidR="003A5FF2" w:rsidRDefault="00000000">
      <w:r>
        <w:t>These activities include</w:t>
      </w:r>
      <w:proofErr w:type="gramStart"/>
      <w:r>
        <w:t>, in particular, constantly</w:t>
      </w:r>
      <w:proofErr w:type="gramEnd"/>
      <w:r>
        <w:t xml:space="preserve"> promoting the Volkswagen Groups Code of Conduct, raising employee awareness on a risk-oriented basis </w:t>
      </w:r>
      <w:r w:rsidR="00C81038">
        <w:t>t</w:t>
      </w:r>
      <w:r>
        <w:t>one from the top, tone from the middle, face-to-face training, e-learning programs, other media-based activities, carrying out communication initiatives, including distributing guidelines and other information media, and participating in compliance and integrity programs.</w:t>
      </w:r>
    </w:p>
    <w:p w14:paraId="4C341BB8" w14:textId="77777777" w:rsidR="003A5FF2" w:rsidRDefault="00000000">
      <w:r>
        <w:lastRenderedPageBreak/>
        <w:t>The coordinator is responsible for adherence to and the implementation of the defined compliance requirements such as documenting responsibilities, setting up controls, raising awareness and training employees.</w:t>
      </w:r>
    </w:p>
    <w:p w14:paraId="061848CD" w14:textId="77777777" w:rsidR="003A5FF2" w:rsidRDefault="00000000">
      <w:r>
        <w:t>Using the control plans and records as a basis, the compliance unit checks whether the implemented controls are appropriate.</w:t>
      </w:r>
    </w:p>
    <w:p w14:paraId="6CAD839D" w14:textId="77777777" w:rsidR="003A5FF2" w:rsidRDefault="00000000">
      <w:r>
        <w:t>In addition, the findings from various audit activities are used to evaluate whether there are indications that the implemented compliance requirements may be ineffective, or whether the audits have identified material residual risks on the basis of which further action needs to be determined.</w:t>
      </w:r>
    </w:p>
    <w:p w14:paraId="579EFF24" w14:textId="77777777" w:rsidR="003A5FF2" w:rsidRDefault="00000000">
      <w:r>
        <w:t>The compliance officer manages the coordination of ongoing legal monitoring, the purpose of which is to ensure that new or amended legal regulations and requirements are identified promptly.</w:t>
      </w:r>
    </w:p>
    <w:p w14:paraId="09AEF182" w14:textId="77777777" w:rsidR="003A5FF2" w:rsidRDefault="00000000">
      <w:r>
        <w:t>All departments and the legal department are actively involved to ensure that new or amended regulations and requirements relevant to their areas of responsibility are identified at an early stage and reported to the compliance officer in accordance with the process description.</w:t>
      </w:r>
    </w:p>
    <w:p w14:paraId="6CF42566" w14:textId="6D7DAFB5" w:rsidR="00262F63" w:rsidRDefault="00000000">
      <w:r>
        <w:t>Currently, the following specific legal fields have been determined as being fundamentally material from the perspective of the Group, Prevention of money laundering and terrorist financing</w:t>
      </w:r>
      <w:r w:rsidR="00262F63">
        <w:t xml:space="preserve">, </w:t>
      </w:r>
      <w:r>
        <w:t>Prevention of corruption and other criminal act</w:t>
      </w:r>
      <w:r w:rsidR="00262F63">
        <w:t>s, D</w:t>
      </w:r>
      <w:r>
        <w:t xml:space="preserve">ata </w:t>
      </w:r>
      <w:r w:rsidR="00262F63">
        <w:t xml:space="preserve">protection, </w:t>
      </w:r>
      <w:r>
        <w:t xml:space="preserve">Consumer </w:t>
      </w:r>
      <w:r w:rsidR="00262F63">
        <w:t xml:space="preserve">protection, </w:t>
      </w:r>
      <w:r>
        <w:t>Capital market law</w:t>
      </w:r>
      <w:r w:rsidR="00262F63">
        <w:t xml:space="preserve">, </w:t>
      </w:r>
      <w:r>
        <w:t>Market abuse regulation</w:t>
      </w:r>
      <w:r w:rsidR="00262F63">
        <w:t xml:space="preserve">, </w:t>
      </w:r>
      <w:r>
        <w:t>Banking supervisory law selected topics Antitrust law and IT security law</w:t>
      </w:r>
      <w:r w:rsidR="00262F63">
        <w:t>.</w:t>
      </w:r>
    </w:p>
    <w:p w14:paraId="1773AB25" w14:textId="6D4BB430" w:rsidR="003A5FF2" w:rsidRDefault="00000000">
      <w:r>
        <w:t>The compliance requirements for the Volkswagen Bank GmbH Group are specified centrally and must be implemented autonomously in the local branches and companies.</w:t>
      </w:r>
    </w:p>
    <w:p w14:paraId="4B7976A5" w14:textId="77777777" w:rsidR="003A5FF2" w:rsidRDefault="00000000">
      <w:r>
        <w:t>As in the case of the compliance function, the central integrity function only specifies the framework for the Group.</w:t>
      </w:r>
    </w:p>
    <w:p w14:paraId="0DC9675E" w14:textId="77777777" w:rsidR="003A5FF2" w:rsidRDefault="00000000">
      <w:r>
        <w:t>In particular, the internal compliance risk assessment , which also covers human rights issues, and the plans for action derived from it on a risk-oriented basis play a particularly prominent role in helping to ensure the Banks companies and branches take proper account of compliance and integrity matters.</w:t>
      </w:r>
    </w:p>
    <w:p w14:paraId="028F494F" w14:textId="77777777" w:rsidR="003A5FF2" w:rsidRDefault="00000000">
      <w:r>
        <w:t>The annual compliance report contains a presentation of the appropriateness and effectiveness of the compliance requirements implemented to ensure compliance with material legal regulations and requirements.</w:t>
      </w:r>
    </w:p>
    <w:p w14:paraId="4DFC0C1A" w14:textId="77777777" w:rsidR="003A5FF2" w:rsidRDefault="00000000">
      <w:r>
        <w:t>A further check is carried out to establish whether the activity to be outsourced is permitted outsourcing or prohibited for regulatory reasons.</w:t>
      </w:r>
    </w:p>
    <w:p w14:paraId="59692853" w14:textId="77777777" w:rsidR="003A5FF2" w:rsidRDefault="00000000">
      <w:r>
        <w:t>Technological risk information technology In the risk category IT and infrastructure, the focus is on information security, stability and compliance.</w:t>
      </w:r>
    </w:p>
    <w:p w14:paraId="323CD1B1" w14:textId="77777777" w:rsidR="003A5FF2" w:rsidRDefault="00000000">
      <w:r>
        <w:lastRenderedPageBreak/>
        <w:t>The focus here is on ensuring the confidentiality, integrity, authenticity and availability of information.</w:t>
      </w:r>
    </w:p>
    <w:p w14:paraId="62454F76" w14:textId="77777777" w:rsidR="003A5FF2" w:rsidRDefault="00000000">
      <w:r>
        <w:t>The preventive measures are based on various instruments of the Three Lines of Defense model to ensure security, stability and compliance within the entire IT-based business operations.</w:t>
      </w:r>
    </w:p>
    <w:p w14:paraId="18064BBE" w14:textId="77777777" w:rsidR="003A5FF2" w:rsidRDefault="00000000">
      <w:r>
        <w:t>From the Management Boards perspective, it is therefore urgently necessary to monitor the development of the Volkswagen Bank GmbH Groups credit risks intensively and to respond proactively when developments occur.</w:t>
      </w:r>
    </w:p>
    <w:p w14:paraId="449484C0" w14:textId="77777777" w:rsidR="003A5FF2" w:rsidRDefault="00000000">
      <w:r>
        <w:t>The risk situation is monitored closely at all times in order to respond proactively to possible developments by taking targeted measures.</w:t>
      </w:r>
    </w:p>
    <w:p w14:paraId="10B59398" w14:textId="77777777" w:rsidR="003A5FF2" w:rsidRDefault="00000000">
      <w:r>
        <w:t>Regions with established automotive financial Combined Management Report Report on Expected Developments 68 services markets will probably see a continuation of the trend towards enabling mobility at the lowest possible total cost.</w:t>
      </w:r>
    </w:p>
    <w:p w14:paraId="20EBD988" w14:textId="77777777" w:rsidR="003A5FF2" w:rsidRDefault="00000000">
      <w:r>
        <w:t>Taking into account the general parameters and market trends, the following overall picture emerges, the earnings expectation is based on the assumption that collaboration with the individual Group brands will intensify, investment in digitalization for the future will increase and that geopolitical upheavals will have a potential impact, as well as further uncertainties regarding the underlying macroeconomic conditions in the real economy and the actual development of deliveries to customers of the Volkswagen Group brands.</w:t>
      </w:r>
    </w:p>
    <w:p w14:paraId="1304E96F" w14:textId="77777777" w:rsidR="003A5FF2" w:rsidRDefault="00000000">
      <w:r>
        <w:t>In addition, expected business performance may vary if the key performance indicators, and also risks and opportunities presented in this annual report turn out to be different from current expectations, or additional risks and opportunities or other factors emerge that affect the development of the business.</w:t>
      </w:r>
    </w:p>
    <w:p w14:paraId="3E7C158D" w14:textId="77777777" w:rsidR="003A5FF2" w:rsidRDefault="00000000">
      <w:r>
        <w:t>A highly scalable product-as-a-service approach allows clients to provide financing solutions for e-commerce and over-the-counter business in their own name quickly with no direct development or operating costs.</w:t>
      </w:r>
    </w:p>
    <w:p w14:paraId="39538DFA" w14:textId="77777777" w:rsidR="003A5FF2" w:rsidRDefault="00000000">
      <w:r>
        <w:t>The estimates and assumptions used by management have been made, in particular, on the basis of assumptions relating to macroeconomic trends including energy prices and inflation and developments in the automotive markets, financial markets specifically including interest rate trends and underlying legal conditions.</w:t>
      </w:r>
    </w:p>
    <w:p w14:paraId="557A7BCC" w14:textId="77777777" w:rsidR="003A5FF2" w:rsidRDefault="00000000">
      <w:r>
        <w:t>These and other assumptions and judgements are explained in detail in the report on expected developments, which is part of the management report.</w:t>
      </w:r>
    </w:p>
    <w:p w14:paraId="56EC21FE" w14:textId="77777777" w:rsidR="003A5FF2" w:rsidRDefault="00000000">
      <w:r>
        <w:t>With regard to default risks of financial assets in the Volkswagen Bank GmbH Group, climate and environmental risks in the portfolio of nonfinancial companies and for collateral in the form of vehicles may become increasingly relevant in future reporting periods.</w:t>
      </w:r>
    </w:p>
    <w:p w14:paraId="3BE0E1CB" w14:textId="77777777" w:rsidR="003A5FF2" w:rsidRDefault="00000000">
      <w:r>
        <w:lastRenderedPageBreak/>
        <w:t>The aim of capital management in the Volkswagen Bank GmbH Group is to support the Banks credit rating by ensuring that the Group has adequate capital backing, to obtain capital for the growth planned for the next few years and to satisfy regulatory capital requirements.</w:t>
      </w:r>
    </w:p>
    <w:p w14:paraId="3D42FE64" w14:textId="77777777" w:rsidR="003A5FF2" w:rsidRDefault="00000000">
      <w:r>
        <w:t>Corporate actions implemented by the previous and current parent company of Volkswagen Bank GmbH generally have an impact on both IFRS equity and regulatory capital.</w:t>
      </w:r>
    </w:p>
    <w:p w14:paraId="4E260D68" w14:textId="77777777" w:rsidR="003A5FF2" w:rsidRDefault="00000000">
      <w:r>
        <w:t>To ensure compliance with these requirements at all times, the Group has established a planning procedure that is integrated into the internal reporting system.</w:t>
      </w:r>
    </w:p>
    <w:p w14:paraId="24DD28C6" w14:textId="77777777" w:rsidR="003A5FF2" w:rsidRDefault="00000000">
      <w:r>
        <w:t>This ensured that the minimum regulatory capital requirements continued to be satisfied at all times in the reporting period.</w:t>
      </w:r>
    </w:p>
    <w:p w14:paraId="5371ED2D" w14:textId="77777777" w:rsidR="003A5FF2" w:rsidRDefault="00000000">
      <w:r>
        <w:t>The general rules governing the Group-wide currency and interest rate hedging policy are specified in internal Group guidelines and satisfy the Minimum Requirements for Risk Management MaRisk Mindestanforderungen an das Risikomanagement issued by the German Federal Financial Supervisory Authority BaFin.</w:t>
      </w:r>
    </w:p>
    <w:p w14:paraId="54A4A87E" w14:textId="77777777" w:rsidR="003A5FF2" w:rsidRDefault="00000000">
      <w:r>
        <w:t>Other attestation services related to the issue of a letter of comfort, the analysis of a contractual compliance issue and the audit of sustainability and the Sustainability Report.</w:t>
      </w:r>
    </w:p>
    <w:p w14:paraId="4BE0DF1C" w14:textId="77777777" w:rsidR="003A5FF2" w:rsidRDefault="00000000">
      <w:r>
        <w:t>In all material respects, this group management report is consistent with the consolidated financial statements, complies with German legal requirements and appropriately presents the opportunities and risks of future development.</w:t>
      </w:r>
    </w:p>
    <w:p w14:paraId="0CDC203F" w14:textId="77777777" w:rsidR="003A5FF2" w:rsidRDefault="00000000">
      <w:r>
        <w:t>We selected our sample applying a risk-based approach, using in particular criteria such as the inclusion of loans on watch lists for increased default risks, rating class, the level of exposure and the provision for credit risks already recognized.</w:t>
      </w:r>
    </w:p>
    <w:p w14:paraId="73CDDA04" w14:textId="77777777" w:rsidR="003A5FF2" w:rsidRDefault="00000000">
      <w:r>
        <w:t>In all other respects, the executive directors are responsible for the other information.</w:t>
      </w:r>
    </w:p>
    <w:p w14:paraId="3B31B015" w14:textId="77777777" w:rsidR="003A5FF2" w:rsidRDefault="00000000">
      <w:r>
        <w:t>In preparing the consolidated financial statements, the executive directors are responsible for assessing the Groups ability to continue as a going concern.</w:t>
      </w:r>
    </w:p>
    <w:p w14:paraId="7C3CED5E" w14:textId="77777777" w:rsidR="003A5FF2" w:rsidRDefault="00000000">
      <w:r>
        <w:t>Furthermore, the executive directors are responsible for the preparation of the group management report that, as a whole, provides an appropriate view of the Groups position and is, in all material respects, consistent with the consolidated financial statements, complies with German legal requirements, and appropriately presents the opportunities and risks of future development.</w:t>
      </w:r>
    </w:p>
    <w:p w14:paraId="486B23E3" w14:textId="77777777" w:rsidR="003A5FF2" w:rsidRDefault="00000000">
      <w:r>
        <w:t>We exercise professional judgment and maintain professional skepticism throughout the audit.</w:t>
      </w:r>
    </w:p>
    <w:p w14:paraId="514C9527" w14:textId="77777777" w:rsidR="003A5FF2" w:rsidRDefault="00000000">
      <w:r>
        <w:t>We are responsible for the direction, supervision and review of the work performed for the group audit.</w:t>
      </w:r>
    </w:p>
    <w:p w14:paraId="0202E345" w14:textId="77777777" w:rsidR="003A5FF2" w:rsidRDefault="00000000">
      <w:r>
        <w:lastRenderedPageBreak/>
        <w:t>In addition, the executive directors of the Company are responsible for such internal control as they have determined necessary to enable the preparation of ESEF documents that are free from material intentional or unintentional non-compliance with the requirements of Sec.</w:t>
      </w:r>
    </w:p>
    <w:p w14:paraId="43D58956" w14:textId="77777777" w:rsidR="003A5FF2" w:rsidRDefault="00000000">
      <w:r>
        <w:t>The Supervisory Board is responsible for overseeing the process for preparing the ESEF documents as part of the financial reporting process.</w:t>
      </w:r>
    </w:p>
    <w:p w14:paraId="720275B8" w14:textId="77777777" w:rsidR="003A5FF2" w:rsidRDefault="00000000">
      <w:r>
        <w:t>Group auditors responsibilities for the assurance work on the ESEF documents Our objective is to obtain reasonable assurance about whether the ESEF documents are free from material intentional or unintentional non-compliance with the requirements of Sec.</w:t>
      </w:r>
    </w:p>
    <w:p w14:paraId="636AFDA4" w14:textId="03B0DCB9" w:rsidR="003A5FF2" w:rsidRDefault="00000000">
      <w:r>
        <w:t>In addition to the financial statement audit, we have provided the following services that are not disclosed in the consolidated financial statements or in the group management report, Limited assurance engagement on the group sustainability reporting within the meaning of Directive 20222464 CSRD for the period from 1 January 2024 to 31 December 2024.</w:t>
      </w:r>
    </w:p>
    <w:p w14:paraId="1A9168B4" w14:textId="77777777" w:rsidR="003A5FF2" w:rsidRDefault="00000000">
      <w:r>
        <w:t>MOBILITY2030 sets out to realize this vision by focusing on the strategic dimensions of customer loyalty, vehicles, performance, data and technology, and sustainability.</w:t>
      </w:r>
    </w:p>
    <w:p w14:paraId="576A78FC" w14:textId="77777777" w:rsidR="003A5FF2" w:rsidRDefault="00000000">
      <w:r>
        <w:t>The values referred to courage, trust and customer focus are intended to guide employees of Volkswagen Bank GmbH in their everyday activities and help motivate them to do their best.</w:t>
      </w:r>
    </w:p>
    <w:p w14:paraId="2AB05335" w14:textId="77777777" w:rsidR="003A5FF2" w:rsidRDefault="00000000">
      <w:r>
        <w:t>Human Resources considers itself a strategic partner of the business divisions in this context and regards the new HR strategy and its focus on key HR activities such as talent acquisition, personnel development, future working culture and modes of working, HR planning and analysis, and HR digitalization as part of its contribution to implementing the higher-level MOBILITY2030 strategy.</w:t>
      </w:r>
    </w:p>
    <w:p w14:paraId="4974F52A" w14:textId="77777777" w:rsidR="003A5FF2" w:rsidRDefault="00000000">
      <w:r>
        <w:t>The 17 specific initiatives set out in the strategy are to be pursued in combination with the overarching priorities of diversity, integrity, compliance and international mindset.</w:t>
      </w:r>
    </w:p>
    <w:p w14:paraId="26EE2F17" w14:textId="77777777" w:rsidR="003A5FF2" w:rsidRDefault="00000000">
      <w:r>
        <w:t>Skilled, committed employees are the cornerstone of success and Volkswagen Bank GmbH accordingly enables its employees to develop their skills continuously.</w:t>
      </w:r>
    </w:p>
    <w:p w14:paraId="1A914F3D" w14:textId="77777777" w:rsidR="003A5FF2" w:rsidRDefault="00000000">
      <w:r>
        <w:t>Independent Auditors Report 221 One of the initiatives within the HR strategy covers the design and implementation of a strategic HR planning system that responds to changes in requirements for employees and enables the Bank to complete detailed analyses based on job profiles, skills and qualifications looking at both present and future needs to predict newly emerging roles and skills requirements in addition to the usual quantitative HR planning activities.</w:t>
      </w:r>
    </w:p>
    <w:p w14:paraId="53998E62" w14:textId="77777777" w:rsidR="003A5FF2" w:rsidRDefault="00000000">
      <w:r>
        <w:t>Furthermore, special governance functions Remuneration Committee and Remuneration Officer were used to ensure that the adequacy of the remuneration systems was continuously monitored.</w:t>
      </w:r>
    </w:p>
    <w:p w14:paraId="44F81A6C" w14:textId="77777777" w:rsidR="003A5FF2" w:rsidRDefault="00000000">
      <w:r>
        <w:lastRenderedPageBreak/>
        <w:t>The remuneration strategy and hence the remuneration systems of Volkswagen Bank GmbH are informed by and help to implement the institutions business and risk strategy and are geared toward ensuring sustainability and constancy.</w:t>
      </w:r>
    </w:p>
    <w:p w14:paraId="7D1A6C62" w14:textId="77777777" w:rsidR="003A5FF2" w:rsidRDefault="00000000">
      <w:r>
        <w:t>Under this initiative, Volkswagen Bank GmbH has pledged to respect and value diversity, and to promote employees according to their skills and ability.</w:t>
      </w:r>
    </w:p>
    <w:p w14:paraId="79BCF2EB" w14:textId="77777777" w:rsidR="003A5FF2" w:rsidRDefault="00000000">
      <w:r>
        <w:t>In 2018, Volkswagen Bank GmbH adopted a Diversity Policy to reinforce this approach and enshrined the policy in its organizational manual.</w:t>
      </w:r>
    </w:p>
    <w:p w14:paraId="60C02338" w14:textId="77777777" w:rsidR="003A5FF2" w:rsidRDefault="00000000">
      <w:r>
        <w:t>The Diversity Policy ensures that diversity is recognized as the norm rather than an exception.</w:t>
      </w:r>
    </w:p>
    <w:p w14:paraId="4614134E" w14:textId="77777777" w:rsidR="003A5FF2" w:rsidRDefault="00000000">
      <w:r>
        <w:t>It also received a report on the status of the reporting system, data governance and data quality, the NeCst volume ramp-up and implementation of Release II, the IT strategy and the IT status of Volkswagen Bank GmbH, the status of a legal dispute with an IT service provider and the status of the Koralle project.</w:t>
      </w:r>
    </w:p>
    <w:p w14:paraId="0B3569C3" w14:textId="77777777" w:rsidR="003A5FF2" w:rsidRDefault="00000000">
      <w:r>
        <w:t>The Audit Committee received a presentation on the compliance report and discussed its content on June 14, 2024.</w:t>
      </w:r>
    </w:p>
    <w:p w14:paraId="1B2709D3" w14:textId="77777777" w:rsidR="003A5FF2" w:rsidRDefault="00000000">
      <w:r>
        <w:t>Moreover, it addressed the change of compliance officer and the processing of audit findings in the Compliance unit.</w:t>
      </w:r>
    </w:p>
    <w:p w14:paraId="43B0AF08" w14:textId="77777777" w:rsidR="003A5FF2" w:rsidRDefault="00000000">
      <w:r>
        <w:t>At its meeting on September 13, 2024, the Risk Committee deliberated the current capital ratios following implementation of the Koralle program and the results of the ad hoc risk inventory and discussed the business and risk strategy.</w:t>
      </w:r>
    </w:p>
    <w:sectPr w:rsidR="003A5F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8689798">
    <w:abstractNumId w:val="8"/>
  </w:num>
  <w:num w:numId="2" w16cid:durableId="1115565774">
    <w:abstractNumId w:val="6"/>
  </w:num>
  <w:num w:numId="3" w16cid:durableId="1997149511">
    <w:abstractNumId w:val="5"/>
  </w:num>
  <w:num w:numId="4" w16cid:durableId="1285304352">
    <w:abstractNumId w:val="4"/>
  </w:num>
  <w:num w:numId="5" w16cid:durableId="1025520272">
    <w:abstractNumId w:val="7"/>
  </w:num>
  <w:num w:numId="6" w16cid:durableId="429393019">
    <w:abstractNumId w:val="3"/>
  </w:num>
  <w:num w:numId="7" w16cid:durableId="448548710">
    <w:abstractNumId w:val="2"/>
  </w:num>
  <w:num w:numId="8" w16cid:durableId="1379476236">
    <w:abstractNumId w:val="1"/>
  </w:num>
  <w:num w:numId="9" w16cid:durableId="147791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F63"/>
    <w:rsid w:val="0029639D"/>
    <w:rsid w:val="00326F90"/>
    <w:rsid w:val="003A5FF2"/>
    <w:rsid w:val="004F5755"/>
    <w:rsid w:val="00584B39"/>
    <w:rsid w:val="005A0532"/>
    <w:rsid w:val="00A815CA"/>
    <w:rsid w:val="00AA1D8D"/>
    <w:rsid w:val="00B47730"/>
    <w:rsid w:val="00C810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A5659"/>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3779</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6</cp:revision>
  <dcterms:created xsi:type="dcterms:W3CDTF">2013-12-23T23:15:00Z</dcterms:created>
  <dcterms:modified xsi:type="dcterms:W3CDTF">2025-08-03T12:17:00Z</dcterms:modified>
  <cp:category/>
</cp:coreProperties>
</file>