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5683D" w14:textId="77777777" w:rsidR="004A0E5E" w:rsidRDefault="00000000">
      <w:r>
        <w:t>This procedure is set down in writing in a disclosure framework, which is reviewed at least annually for up-to-dateness and completeness and approved by the Managing Board.</w:t>
      </w:r>
    </w:p>
    <w:p w14:paraId="536CBDD5" w14:textId="77777777" w:rsidR="004A0E5E" w:rsidRDefault="00000000">
      <w:r>
        <w:t>A common set of rules and understanding of risk management across the Association is the basis for developing risk awareness and a risk culture within the Company.</w:t>
      </w:r>
    </w:p>
    <w:p w14:paraId="0DBB6DC6" w14:textId="77777777" w:rsidR="004A0E5E" w:rsidRDefault="00000000">
      <w:r>
        <w:t>As a prerequisite and basis for sound risk management, the Risk Appetite Framework for the Association of Volksbanks is continuously refined to define the risk appetite or the degree of risk tolerance that the Association of Volksbanks is willing to accept in order to achieve its defined objectives.</w:t>
      </w:r>
    </w:p>
    <w:p w14:paraId="6A6EECCA" w14:textId="77777777" w:rsidR="004A0E5E" w:rsidRDefault="00000000">
      <w:r>
        <w:t>The framework is verified and developed with respect to regulatory requirements, changes of the market environment or the business model on a current basis.</w:t>
      </w:r>
    </w:p>
    <w:p w14:paraId="3C7EF380" w14:textId="77777777" w:rsidR="004A0E5E" w:rsidRDefault="00000000">
      <w:r>
        <w:t>The Association of Volksbanks aims to develop, by way of this framework, a disciplined and constructive control environment where all employees understand and live up to their role and responsibility.</w:t>
      </w:r>
    </w:p>
    <w:p w14:paraId="6D50417A" w14:textId="77777777" w:rsidR="004A0E5E" w:rsidRDefault="00000000">
      <w:r>
        <w:t>The RICO serves to control all material risks, with a focus at portfolio level, ensuring that risk policy decisions are in compliance with risk appetite.</w:t>
      </w:r>
    </w:p>
    <w:p w14:paraId="3AECC634" w14:textId="77777777" w:rsidR="004A0E5E" w:rsidRDefault="00000000">
      <w:r>
        <w:t>Within the scope of their general duty of care, the members of the Managing Board and the managing directors of all affiliated banks must ensure, without exception and restriction, in the interest of the respective companies, that the General Instructions are put into effect formally and de facto.</w:t>
      </w:r>
    </w:p>
    <w:p w14:paraId="287C8D7D" w14:textId="77777777" w:rsidR="004A0E5E" w:rsidRDefault="00000000">
      <w:r>
        <w:t>Risk strategy The risk strategy of the Association is based on the business strategy of the Association and provides for consistent general conditions and principles for uniform risk management of the Association.</w:t>
      </w:r>
    </w:p>
    <w:p w14:paraId="4D4CAAA8" w14:textId="77777777" w:rsidR="004A0E5E" w:rsidRDefault="00000000">
      <w:r>
        <w:t>The RAS set of indicators comprising strategic and additional indicators helps the Managing Board of the CO to implement central strategic goals of the Association of Volksbanks, specifying the same in operational terms.</w:t>
      </w:r>
    </w:p>
    <w:p w14:paraId="113BDC5B" w14:textId="77777777" w:rsidR="004A0E5E" w:rsidRDefault="00000000">
      <w:r>
        <w:t>In determining risk-bearing capacity, different objectives are pursued that are reflected in three perspectives, Regulatory perspective compliance with regulatory own funds ratios Economic perspective Normative perspective The regulatory Pillar 1 perspective compares the total risk exposure amount calculated in accordance with applicable legal provisions with regulatory own funds.</w:t>
      </w:r>
    </w:p>
    <w:p w14:paraId="4081430F" w14:textId="77777777" w:rsidR="004A0E5E" w:rsidRDefault="00000000">
      <w:r>
        <w:t>All decisions in individual instances are made strictly observing the dual-control principle, with clear processes having been established for the cooperation between the risk management units in the CO and the members of the Association of Volksbanks.</w:t>
      </w:r>
    </w:p>
    <w:p w14:paraId="39F67289" w14:textId="77777777" w:rsidR="004A0E5E" w:rsidRDefault="00000000">
      <w:r>
        <w:t>These collaterals are recognised in regulatory terms and reduce the risk.</w:t>
      </w:r>
    </w:p>
    <w:p w14:paraId="3E94D4AD" w14:textId="77777777" w:rsidR="004A0E5E" w:rsidRDefault="00000000">
      <w:r>
        <w:lastRenderedPageBreak/>
        <w:t>The following analyses are part of the report, Portfolio distribution Development of new business Distribution of credit ratings Non-performing loans Forbearance Credit risk concentrations Country group analysis Customer segments Distribution across industry sectors In addition to reporting as part of the aggregate bank risk report, a Fast Close Risk Report is prepared at association level on a monthly basis immediately after year-end based on daily raw data from the core banking system.</w:t>
      </w:r>
    </w:p>
    <w:p w14:paraId="6EAFC1B1" w14:textId="77777777" w:rsidR="004A0E5E" w:rsidRDefault="00000000">
      <w:r>
        <w:t>Moreover, it contains a brief overview of the development of risk provisions to track developments continuously and to implement measures promptly.</w:t>
      </w:r>
    </w:p>
    <w:p w14:paraId="67A6A320" w14:textId="77777777" w:rsidR="004A0E5E" w:rsidRDefault="00000000">
      <w:r>
        <w:t>These collaterals are recognised in regulatory terms and reduce the risk.</w:t>
      </w:r>
    </w:p>
    <w:p w14:paraId="7ECCFE2E" w14:textId="77777777" w:rsidR="004A0E5E" w:rsidRDefault="00000000">
      <w:r>
        <w:t>The regulatory own funds requirements for the trading book are calculated by means of the standardised approach the Association of Volksbanks does not use any internal model for market risk in the trading book.</w:t>
      </w:r>
    </w:p>
    <w:p w14:paraId="194018B5" w14:textId="77777777" w:rsidR="004A0E5E" w:rsidRDefault="00000000">
      <w:r>
        <w:t>In organisational terms, the department is assigned to the Risk Control division with a direct reporting line to the responsible divisional board member .</w:t>
      </w:r>
    </w:p>
    <w:p w14:paraId="4B00A41B" w14:textId="77777777" w:rsidR="004A0E5E" w:rsidRDefault="00000000">
      <w:r>
        <w:t>The ILAAP is defined as the totality of all internal procedures, methods and processes to ensure adequate liquidity within the Association of Volksbanks at present and in the future even under stressed conditions and to meet all supervisory and regulatory requirements for liquidity risk.</w:t>
      </w:r>
    </w:p>
    <w:p w14:paraId="72A47D2B" w14:textId="77777777" w:rsidR="004A0E5E" w:rsidRDefault="00000000">
      <w:r>
        <w:t>In addition to the ALCO, the monthly Risk Committee, the weekly liquidity jour fixe and restricted to liquidity emergencies the liquidity emergency committee of the Association are also relevant for liquidity risk management.</w:t>
      </w:r>
    </w:p>
    <w:p w14:paraId="2B62C0E6" w14:textId="77777777" w:rsidR="004A0E5E" w:rsidRDefault="00000000">
      <w:r>
        <w:t>The liquidity position for the Association of Volksbanks is managed within the framework of limits that are approved by the Managing Board of VBW and defined and monitored by Liquidity Risk Control.</w:t>
      </w:r>
    </w:p>
    <w:p w14:paraId="068F0F26" w14:textId="77777777" w:rsidR="004A0E5E" w:rsidRDefault="00000000">
      <w:r>
        <w:t>Compliance with the survival period limit is monitored on an ongoing basis by Liquidity Risk Control and reported to the Managing Board on a monthly basis in the ALCO and the Risk Committee.</w:t>
      </w:r>
    </w:p>
    <w:p w14:paraId="3944E53E" w14:textId="77777777" w:rsidR="004A0E5E" w:rsidRDefault="00000000">
      <w:r>
        <w:t>Adverse changes in the survival period will trigger internal risk analysis processes and, if necessary, risk management measures by Treasury.</w:t>
      </w:r>
    </w:p>
    <w:p w14:paraId="231B5D75" w14:textId="77777777" w:rsidR="004A0E5E" w:rsidRDefault="00000000">
      <w:r>
        <w:t>The calculation of regulatory capital adequacy requirements is effected using the standardised approach.</w:t>
      </w:r>
    </w:p>
    <w:p w14:paraId="6BDD147D" w14:textId="77777777" w:rsidR="004A0E5E" w:rsidRDefault="00000000">
      <w:r>
        <w:t>Co-operation across departments in particular with Compliance, Internal Audit, as well as Security &amp; Outsourcing Governance allows for optimal and comprehensive control of operational risks.</w:t>
      </w:r>
    </w:p>
    <w:p w14:paraId="1B67E816" w14:textId="77777777" w:rsidR="004A0E5E" w:rsidRDefault="00000000">
      <w:r>
        <w:lastRenderedPageBreak/>
        <w:t>Qualitative control measures comprise the implementation of training events, the performance of risk analyses, awareness building measures, root cause analysis as part of the operational risk event database, the implementation of uniform ICS checks, as well as risk reporting.</w:t>
      </w:r>
    </w:p>
    <w:p w14:paraId="7C3F6463" w14:textId="77777777" w:rsidR="004A0E5E" w:rsidRDefault="00000000">
      <w:r>
        <w:t>The appropriateness of the risk control and monitoring measures and other risk-minimising measures is assessed on an on-going basis, but at least once a year, and reported to the Managing Board.</w:t>
      </w:r>
    </w:p>
    <w:p w14:paraId="26FB2659" w14:textId="77777777" w:rsidR="004A0E5E" w:rsidRDefault="00000000">
      <w:r>
        <w:t>Measures for risk control comprise, for instance, awareness-buildingtraining events, the monitoring of the OpRisk indicators, maintaining the confidentiality, availability and integrity of customer and corporate data, business continuity planning, but also in particular an adequate separation of responsibilities, as well as observance of the dual-control principle.</w:t>
      </w:r>
    </w:p>
    <w:p w14:paraId="0BFAEBE4" w14:textId="77777777" w:rsidR="004A0E5E" w:rsidRDefault="00000000">
      <w:r>
        <w:t>Both the effectiveness and adequacy of the ICS, as well as compliance with instructions are audited.</w:t>
      </w:r>
    </w:p>
    <w:p w14:paraId="34384F36" w14:textId="77777777" w:rsidR="004A0E5E" w:rsidRDefault="00000000">
      <w:r>
        <w:t>The close interlocking of OpRisk Management with the internal control system ensures appropriate consideration of operational risks within the Association of Volksbanks.</w:t>
      </w:r>
    </w:p>
    <w:p w14:paraId="6F43AC19" w14:textId="77777777" w:rsidR="004A0E5E" w:rsidRDefault="00000000">
      <w:r>
        <w:t>Additionally, the principles and processes for selecting members of the Managing Board and for the required strategic succession planning as well as for ensuring the individual and collective knowledge and skills taking into account Fit &amp; Proper criteria are regulated within the framework of the General Instruction on the Appointment of Managers cf.</w:t>
      </w:r>
    </w:p>
    <w:p w14:paraId="122E20FD" w14:textId="77777777" w:rsidR="004A0E5E" w:rsidRDefault="00000000">
      <w:r>
        <w:t>The required knowledge, skills and experience of each individual in relation to the collective requirements for the composition of the relevant boards ensure that well-informed competent decisions are made based on a good understanding of the business, the risks and governance structure of the Association of Volksbanks and on the relevant persons knowledge of the regulatory framework.</w:t>
      </w:r>
    </w:p>
    <w:p w14:paraId="0EB43E97" w14:textId="77777777" w:rsidR="004A0E5E" w:rsidRDefault="00000000">
      <w:r>
        <w:t>Ongoing suitability is ensured through regular training and continuing education measures and related policies.</w:t>
      </w:r>
    </w:p>
    <w:p w14:paraId="33D1CE92" w14:textId="77777777" w:rsidR="004A0E5E" w:rsidRDefault="00000000">
      <w:r>
        <w:t>This increase is supported by a great number of measures, processes and programmes diversity programmes, human capital development, gender pay equality programmes etc.</w:t>
      </w:r>
    </w:p>
    <w:p w14:paraId="12EE74DC" w14:textId="77777777" w:rsidR="004A0E5E" w:rsidRDefault="00000000">
      <w:r>
        <w:t>In addition to the aggregate bank risk report, various risk-specific reports e.</w:t>
      </w:r>
    </w:p>
    <w:p w14:paraId="6105C9C7" w14:textId="77777777" w:rsidR="004A0E5E" w:rsidRDefault="00000000">
      <w:r>
        <w:t>Analyses within credit risk regarding the development of individual sub-portfolios complement the reporting framework.</w:t>
      </w:r>
    </w:p>
    <w:p w14:paraId="361AB76D" w14:textId="77777777" w:rsidR="004A0E5E" w:rsidRDefault="00000000">
      <w:r>
        <w:t>Compliance with BaSAG indicators is reported in the Risk Committee to the CO Managing Board.</w:t>
      </w:r>
    </w:p>
    <w:p w14:paraId="39FBAC29" w14:textId="77777777" w:rsidR="004A0E5E" w:rsidRDefault="00000000">
      <w:r>
        <w:lastRenderedPageBreak/>
        <w:t>The remuneration policy of the Association of Volksbanks is in line with the business and risk strategy as well as the general risk management mechanisms, and it supports the long-term interests of the Association of Volksbanks.</w:t>
      </w:r>
    </w:p>
    <w:p w14:paraId="07087963" w14:textId="77777777" w:rsidR="004A0E5E" w:rsidRDefault="00000000">
      <w:r>
        <w:t>The remuneration policy is checked by the CO HR Management function for up-to-dateness at least once a year and revised accordingly.</w:t>
      </w:r>
    </w:p>
    <w:p w14:paraId="6B25924B" w14:textId="77777777" w:rsidR="004A0E5E" w:rsidRDefault="00000000">
      <w:r>
        <w:t>This review includes making sure that the remuneration policy is gender-neutral.</w:t>
      </w:r>
    </w:p>
    <w:p w14:paraId="1B6A4474" w14:textId="77777777" w:rsidR="004A0E5E" w:rsidRDefault="00000000">
      <w:r>
        <w:t>In 2023, the remuneration policy was checked twice and supplemented by introducing a bonus model.</w:t>
      </w:r>
    </w:p>
    <w:p w14:paraId="56D0DDB2" w14:textId="77777777" w:rsidR="004A0E5E" w:rsidRDefault="00000000">
      <w:r>
        <w:t>This is meant to ensure that the remuneration policy is geared to the strategy and that it supports the risk management framework of the affiliated banks.</w:t>
      </w:r>
    </w:p>
    <w:p w14:paraId="25D5E16A" w14:textId="77777777" w:rsidR="004A0E5E" w:rsidRDefault="00000000">
      <w:r>
        <w:t>Under the working instruction of the Association Association WI on remuneration policy, the GI must be implemented in all affiliated credit institutions.</w:t>
      </w:r>
    </w:p>
    <w:p w14:paraId="19355AA1" w14:textId="77777777" w:rsidR="004A0E5E" w:rsidRDefault="00000000">
      <w:r>
        <w:t>The main tasks of the Remuneration Committee include the approval, monitoring and implementation of the remuneration policy, the remuneration practices, as well as of the remuneration-related incentive structures.</w:t>
      </w:r>
    </w:p>
    <w:p w14:paraId="2EE29207" w14:textId="77777777" w:rsidR="004A0E5E" w:rsidRDefault="00000000">
      <w:r>
        <w:t>Working and Risk Committee Annual reporting takes place in the Working and Risk Committee of VOLKSBANK WIEN AG about the remuneration system of the Association of Volksbanks.</w:t>
      </w:r>
    </w:p>
    <w:p w14:paraId="4508F195" w14:textId="77777777" w:rsidR="004A0E5E" w:rsidRDefault="00000000">
      <w:r>
        <w:t>In 2023, the Working and Risk Committee discussed the remuneration policy on two occasions.</w:t>
      </w:r>
    </w:p>
    <w:p w14:paraId="0328AF35" w14:textId="77777777" w:rsidR="004A0E5E" w:rsidRDefault="00000000">
      <w:r>
        <w:t>They are actively and regularly working together and cooperating with other functions and committees to develop the remuneration policy and practices.</w:t>
      </w:r>
    </w:p>
    <w:p w14:paraId="4AD64212" w14:textId="77777777" w:rsidR="004A0E5E" w:rsidRDefault="00000000">
      <w:r>
        <w:t>As part of the 2nd line of defence, risk management, which is assumed by the Risk Control unit of VOLKSBANK WIEN AG, is always integrated in the definition of the remuneration policy, the bonus model and in the assessment process for identifying risk takers of the respective affiliated bank, and it is adequately involved in designing and monitoring the remuneration systems.</w:t>
      </w:r>
    </w:p>
    <w:p w14:paraId="18B180C3" w14:textId="77777777" w:rsidR="004A0E5E" w:rsidRDefault="00000000">
      <w:r>
        <w:t>Internal Audit, as 3rd line of defence, carries out an independent review of the design, implementation and effects of the remuneration policy of the Association of Volksbanks once a year.</w:t>
      </w:r>
    </w:p>
    <w:p w14:paraId="6CA5899C" w14:textId="77777777" w:rsidR="004A0E5E" w:rsidRDefault="00000000">
      <w:r>
        <w:t>The identification of key risk takers follows a structured and formalised assessment process at both Association and affiliated bank level on the basis of the guidelines laid down by the CO, involving the Risk Control and Compliance functions, in order to guarantee a common standardised approach at Association level.</w:t>
      </w:r>
    </w:p>
    <w:p w14:paraId="259D1E88" w14:textId="77777777" w:rsidR="004A0E5E" w:rsidRDefault="00000000">
      <w:r>
        <w:lastRenderedPageBreak/>
        <w:t>For the recognition of identified employees with a significant impact on the risk profile of VOLKSBANK WIEN AG, the role, decision-making authority with regard to management responsibility, and the total annual remuneration are taken into account.</w:t>
      </w:r>
    </w:p>
    <w:p w14:paraId="17A920CC" w14:textId="77777777" w:rsidR="004A0E5E" w:rsidRDefault="00000000">
      <w:r>
        <w:t>The risk analysis is updated during the year as well, at least with regard to the qualitative criteria of EBARTS202005 to ensure that all employees to whom any of the qualitative criteria may apply for at least three months of the financial year are identified as key risk takers.</w:t>
      </w:r>
    </w:p>
    <w:p w14:paraId="4E5C0055" w14:textId="77777777" w:rsidR="004A0E5E" w:rsidRDefault="00000000">
      <w:r>
        <w:t>The fulfilment of this approach is verified by the remuneration benchmarks regularly carried out by external consultants.</w:t>
      </w:r>
    </w:p>
    <w:p w14:paraId="3A85AEFF" w14:textId="77777777" w:rsidR="004A0E5E" w:rsidRDefault="00000000">
      <w:r>
        <w:t>Variable remuneration Within the Association of Volksbanks variable remuneration is limited to the models defined in the remuneration policy.</w:t>
      </w:r>
    </w:p>
    <w:p w14:paraId="3597389D" w14:textId="77777777" w:rsidR="004A0E5E" w:rsidRDefault="00000000">
      <w:r>
        <w:t>The total pool of variable remuneration must not restrict the ability of the Association of Volksbanks or of the respective affiliated bank to improve its own funds base.</w:t>
      </w:r>
    </w:p>
    <w:p w14:paraId="0563BFEC" w14:textId="77777777" w:rsidR="004A0E5E" w:rsidRDefault="00000000">
      <w:r>
        <w:t>Remuneration of control functions Employees holding control functions are independent of the business units they control, have sufficient authority and are remunerated irrespective of the performance of the business units they control.</w:t>
      </w:r>
    </w:p>
    <w:p w14:paraId="5EC66EE3" w14:textId="77777777" w:rsidR="004A0E5E" w:rsidRDefault="00000000">
      <w:r>
        <w:t>The adequacy of the annual remuneration of senior management in Risk Control, Compliance and Internal Audit is reviewed annually by the Remuneration Committee of VOLKSBANK WIEN AG.</w:t>
      </w:r>
    </w:p>
    <w:p w14:paraId="7D98F678" w14:textId="77777777" w:rsidR="004A0E5E" w:rsidRDefault="00000000">
      <w:r>
        <w:t>Senior management in Risk Control, Compliance and Internal Audit of VOLKSBANK WIEN AG assumes the relevant function at the Volksbanks as well.</w:t>
      </w:r>
    </w:p>
    <w:p w14:paraId="70344B08" w14:textId="77777777" w:rsidR="004A0E5E" w:rsidRDefault="00000000">
      <w:r>
        <w:t>All targets and thresholds are resolved upon annually in the December Remuneration Committee of VOLKSBANK WIEN AG for the subsequent year.</w:t>
      </w:r>
    </w:p>
    <w:p w14:paraId="212F7243" w14:textId="77777777" w:rsidR="004A0E5E" w:rsidRDefault="00000000">
      <w:r>
        <w:t>The individual targets of the affiliated banks are defined by resolution in the December meetings of the competent supervisory boards.</w:t>
      </w:r>
    </w:p>
    <w:p w14:paraId="343F2DA9" w14:textId="77777777" w:rsidR="004A0E5E" w:rsidRDefault="00000000">
      <w:r>
        <w:t>The targets of the respective companies must include predefined risk targets, customer statisfaction targets and sustainability targets.</w:t>
      </w:r>
    </w:p>
    <w:p w14:paraId="76C78482" w14:textId="77777777" w:rsidR="004A0E5E" w:rsidRDefault="00000000">
      <w:r>
        <w:t>The current bonus model of the association of credit institutions employee profit sharing is tied to the overall performance of the company, and not to individual employee targets.</w:t>
      </w:r>
    </w:p>
    <w:p w14:paraId="5F336071" w14:textId="77777777" w:rsidR="004A0E5E" w:rsidRDefault="00000000">
      <w:r>
        <w:t>Employees who have worked full-time throughout the year and who met the criteria for disbursement under the Association WI Remuneration Policy were entitled to the bonus for 2023.</w:t>
      </w:r>
    </w:p>
    <w:p w14:paraId="5107BA92" w14:textId="77777777" w:rsidR="004A0E5E" w:rsidRDefault="00000000">
      <w:r>
        <w:t>The following sustainability factors serve to support the achievement of the sustainable aspects and long-term value creation within the association of credit institutions, compliance with labour law standards.</w:t>
      </w:r>
    </w:p>
    <w:p w14:paraId="308D65FB" w14:textId="77777777" w:rsidR="004A0E5E" w:rsidRDefault="00000000">
      <w:r>
        <w:lastRenderedPageBreak/>
        <w:t>The remuneration policy of the Association of Volksbanks is gender-neutral, establishing the principles of equal pay as well as equal and equivalent work for all employees.</w:t>
      </w:r>
    </w:p>
    <w:p w14:paraId="3B8E1A16" w14:textId="77777777" w:rsidR="004A0E5E" w:rsidRDefault="00000000">
      <w:r>
        <w:t>To ensure performance-adequate and gender-neutral remuneration, the Association of Volksbanks has developed and implemented tools like the competence model, internal job profiles and job descriptions.</w:t>
      </w:r>
    </w:p>
    <w:p w14:paraId="558B97E8" w14:textId="77777777" w:rsidR="004A0E5E" w:rsidRDefault="00000000">
      <w:r>
        <w:t>Thus, all measures are taken to meet the regulatory requirements for comprehensive risk management.</w:t>
      </w:r>
    </w:p>
    <w:p w14:paraId="674F77EB" w14:textId="77777777" w:rsidR="004A0E5E" w:rsidRDefault="00000000">
      <w:r>
        <w:t>The respective risk management procedures are up to date and are continuously improved and developed.</w:t>
      </w:r>
    </w:p>
    <w:p w14:paraId="6EB86E00" w14:textId="77777777" w:rsidR="004A0E5E" w:rsidRDefault="00000000">
      <w:r>
        <w:t>Procedures for responding to changes in the leverage ratio A limittrigger violation will be reported directly to the Managing Board of the CO within the framework of the Risk Committee.</w:t>
      </w:r>
    </w:p>
    <w:p w14:paraId="3460EAF7" w14:textId="77777777" w:rsidR="004A0E5E" w:rsidRDefault="00000000">
      <w:r>
        <w:t>The Managing Board of the CO will define appropriate measures as required and monitor their implementation on an ongoing basis.</w:t>
      </w:r>
    </w:p>
    <w:p w14:paraId="0522CE0A" w14:textId="77777777" w:rsidR="004A0E5E" w:rsidRDefault="00000000">
      <w:r>
        <w:t>Generally, throughout 2023, the LCR at the reporting date has shown a positive development and, especially towards year-end, displays very high levels that exceed the triggerlimit values by far, with values above 200 %.</w:t>
      </w:r>
    </w:p>
    <w:p w14:paraId="234713FA" w14:textId="77777777" w:rsidR="004A0E5E" w:rsidRDefault="00000000">
      <w:r>
        <w:t>The relevant context is provided, on the one hand, by the three risk categories of environmental risks, social risks and governance risks and, on the other hand, by the more detailed division per risk category contained in the annex by business strategy and processes, governance and risk management.</w:t>
      </w:r>
    </w:p>
    <w:p w14:paraId="78D61617" w14:textId="77777777" w:rsidR="004A0E5E" w:rsidRDefault="00000000">
      <w:r>
        <w:t>Our focus is on customers, partners and employees.</w:t>
      </w:r>
    </w:p>
    <w:p w14:paraId="481A5A01" w14:textId="77777777" w:rsidR="004A0E5E" w:rsidRDefault="00000000">
      <w:r>
        <w:t>This business model, in combination with the focus on Austria, reduces the risk of negative effects on human rights and the environment, as well as any associated reputational risk for the Association of Volksbanks legal framework applicable in Austria.</w:t>
      </w:r>
    </w:p>
    <w:p w14:paraId="35FBB68D" w14:textId="77777777" w:rsidR="004A0E5E" w:rsidRDefault="00000000">
      <w:r>
        <w:t>The material topics forming the basis of the banks sustainability management were worked out together with stakeholders.</w:t>
      </w:r>
    </w:p>
    <w:p w14:paraId="1496FF11" w14:textId="77777777" w:rsidR="004A0E5E" w:rsidRDefault="00000000">
      <w:r>
        <w:t>The topics were selected considering the ecological and social impact of the sustainability topics identified, as well as their relevance to stakeholders.</w:t>
      </w:r>
    </w:p>
    <w:p w14:paraId="7FC3D95B" w14:textId="77777777" w:rsidR="004A0E5E" w:rsidRDefault="00000000">
      <w:r>
        <w:t>The identification and impact assessment of sustainability topics are continuously monitored in workshops with employees and the managing board members of the Volksbanks.</w:t>
      </w:r>
    </w:p>
    <w:p w14:paraId="17768261" w14:textId="77777777" w:rsidR="004A0E5E" w:rsidRDefault="00000000">
      <w:r>
        <w:t>Together with external sustainability experts, all sustainability aspects were assessed in terms of their potential and actual environmental and social impact in accordance with the ESRS.</w:t>
      </w:r>
    </w:p>
    <w:p w14:paraId="3874828E" w14:textId="77777777" w:rsidR="004A0E5E" w:rsidRDefault="00000000">
      <w:r>
        <w:lastRenderedPageBreak/>
        <w:t>Together with the assessment of sustainability aspects from the stakeholders perspective, the dual materiality analysis forms the basis for future reporting in accordance with the CSRD, which will be implemented from the 2024 financial year.</w:t>
      </w:r>
    </w:p>
    <w:p w14:paraId="68C147B7" w14:textId="77777777" w:rsidR="004A0E5E" w:rsidRDefault="00000000">
      <w:r>
        <w:t>Reporting in accordance with the recommendations of the Task Force on Climate-Related Financial Disclosures focuses on risks and opportunities arising from the consequences of climate change.</w:t>
      </w:r>
    </w:p>
    <w:p w14:paraId="59E93848" w14:textId="77777777" w:rsidR="004A0E5E" w:rsidRDefault="00000000">
      <w:r>
        <w:t>Sustainability governance a General governance of the Association In line with the governance principles of the Association of Volksbanks, the Managing Board of VOLKSBANK WIEN AG, in its function as central organisation , bears overall responsibility for the Association with regard to the definition of the strategic corporate objectives, the governance framework and the corporate culture.</w:t>
      </w:r>
    </w:p>
    <w:p w14:paraId="63210536" w14:textId="77777777" w:rsidR="004A0E5E" w:rsidRDefault="00000000">
      <w:r>
        <w:t>The governance of the Association applies equally to all topics relating to sustainable opportunities and risks and their management for the following dimensions, environment, social matters and corporate strategy.</w:t>
      </w:r>
    </w:p>
    <w:p w14:paraId="04D1C768" w14:textId="77777777" w:rsidR="004A0E5E" w:rsidRDefault="00000000">
      <w:r>
        <w:t>In order to accomplish the strategic goals and to ensure the requirements for ESG data, an ESG data project was set up with Risk Control acting as project manager to continue and expand the topics addressed by the Sustainability Project.</w:t>
      </w:r>
    </w:p>
    <w:p w14:paraId="7EDB8BA3" w14:textId="77777777" w:rsidR="004A0E5E" w:rsidRDefault="00000000">
      <w:r>
        <w:t>All divisions of VOLKSBANK WIEN AG as central organisation itself are involved in implementing measures regarding sustainability goals and have each appointed sustainability ambassadors to accompany internal communication on the topic of sustainability and to support the process of achieving their sustainability goals with forward-looking ideas.</w:t>
      </w:r>
    </w:p>
    <w:p w14:paraId="4788E885" w14:textId="77777777" w:rsidR="004A0E5E" w:rsidRDefault="00000000">
      <w:r>
        <w:t>The Sustainability Report of the Association of Volksbanks contains all measures and goals implemented in 2023 as well as an outlook on further plans with regard to the material topics of the Association of Volksbanks.</w:t>
      </w:r>
    </w:p>
    <w:p w14:paraId="6A4D1D57" w14:textId="77777777" w:rsidR="004A0E5E" w:rsidRDefault="00000000">
      <w:r>
        <w:t>The NAKO manages the sustainable goals of the Association of Volksbanks see heading Sustainability goals, adopts resolutions on sustainable opportunities and risks, reports on ESG aspects and explains new trends and innovations.</w:t>
      </w:r>
    </w:p>
    <w:p w14:paraId="2B6B8971" w14:textId="77777777" w:rsidR="004A0E5E" w:rsidRDefault="00000000">
      <w:r>
        <w:t>They are responsible for ESG topics in the primary banks and support the managing boards of the primary banks in their efforts to manage the banks based on the sustainability goals.</w:t>
      </w:r>
    </w:p>
    <w:p w14:paraId="57849109" w14:textId="77777777" w:rsidR="004A0E5E" w:rsidRDefault="00000000">
      <w:r>
        <w:t>The implementation of the sustainability strategy in the Association of Volksbanks and the management of risks and opportunities is taken care of by the Sustainability Committee in the Association.</w:t>
      </w:r>
    </w:p>
    <w:p w14:paraId="13BCF012" w14:textId="77777777" w:rsidR="004A0E5E" w:rsidRDefault="00000000">
      <w:r>
        <w:t>By defining sustainability principles, the sustainability strategy creates consistent framework conditions for a uniform approach to environmental, social and corporate governance issues.</w:t>
      </w:r>
    </w:p>
    <w:p w14:paraId="5252A84C" w14:textId="77777777" w:rsidR="004A0E5E" w:rsidRDefault="00000000">
      <w:r>
        <w:lastRenderedPageBreak/>
        <w:t>It is part of the business strategy and describes, among other things, how the Association of Volksbanks integrates ESG criteria into the organisation and the core business, how it takes ESG risks into account and exploits development potentials in connection with sustainability.</w:t>
      </w:r>
    </w:p>
    <w:p w14:paraId="480F4992" w14:textId="77777777" w:rsidR="004A0E5E" w:rsidRDefault="00000000">
      <w:r>
        <w:t>In 2021, a sustainability strategy was created for the Association of Volksbanks for the first time, and sustainability was included in all chapters of the strategy of the Association.</w:t>
      </w:r>
    </w:p>
    <w:p w14:paraId="0D863757" w14:textId="77777777" w:rsidR="004A0E5E" w:rsidRDefault="00000000">
      <w:r>
        <w:t>In 2023, financed greenhouse gas emissions GHG emissions, so-called indirect and downstream emissions associated with the lending and investment activities of the Association of Volksbanks, were calculated using an ESG software.</w:t>
      </w:r>
    </w:p>
    <w:p w14:paraId="7105BB27" w14:textId="77777777" w:rsidR="004A0E5E" w:rsidRDefault="00000000">
      <w:r>
        <w:t>A 2024 decarbonisation strategy with measurable goals was derived therefrom for the Association of Volksbanks.</w:t>
      </w:r>
    </w:p>
    <w:p w14:paraId="03E9AA01" w14:textId="77777777" w:rsidR="004A0E5E" w:rsidRDefault="00000000">
      <w:r>
        <w:t>The Managing Board is fully involved in the strategy process and is responsible for approving the sustainability strategy.</w:t>
      </w:r>
    </w:p>
    <w:p w14:paraId="362B8BF5" w14:textId="77777777" w:rsidR="004A0E5E" w:rsidRDefault="00000000">
      <w:r>
        <w:t>Opportunity and risk analyses were carried out to develop the sustainability strategy, and the findings were incorporated into the strategy.</w:t>
      </w:r>
    </w:p>
    <w:p w14:paraId="3638F2DD" w14:textId="1DA339E8" w:rsidR="004A0E5E" w:rsidRDefault="00000000">
      <w:r>
        <w:t>The sustainability strategy is constantly being developed and adapted to the evolving regulatory environment, new findings and innovations</w:t>
      </w:r>
      <w:r w:rsidR="0091061F">
        <w:t xml:space="preserve"> u</w:t>
      </w:r>
      <w:r>
        <w:t>pon joining the TCFD in 2023.</w:t>
      </w:r>
    </w:p>
    <w:p w14:paraId="41C9D3D0" w14:textId="77777777" w:rsidR="004A0E5E" w:rsidRDefault="00000000">
      <w:r>
        <w:t>Within the Sustainability Committee, steering and control activities are carried out by the Managing Board based on sustainability goals, which also include the monitoring of ESG risks.</w:t>
      </w:r>
    </w:p>
    <w:p w14:paraId="76CFAFFF" w14:textId="77777777" w:rsidR="004A0E5E" w:rsidRDefault="00000000">
      <w:r>
        <w:t>Based on the sustainability goals, nine management KPIs have been developed, four environmental KPIs, three social KPIs, and two governance KPIs.</w:t>
      </w:r>
    </w:p>
    <w:p w14:paraId="189FB6E3" w14:textId="77777777" w:rsidR="004A0E5E" w:rsidRDefault="00000000">
      <w:r>
        <w:t>The indicators for measuring sustainability goals represent the current status, which is being continuously developed and updated.</w:t>
      </w:r>
    </w:p>
    <w:p w14:paraId="4237CF7F" w14:textId="77777777" w:rsidR="004A0E5E" w:rsidRDefault="00000000">
      <w:r>
        <w:t>Moreover, we take care to protect the environment, and the Association of Volksbanks is committed to advance environmentally friendly technologies and projects.</w:t>
      </w:r>
    </w:p>
    <w:p w14:paraId="72201B58" w14:textId="77777777" w:rsidR="004A0E5E" w:rsidRDefault="00000000">
      <w:r>
        <w:t>Sustainalytics GmbH has reviewed the Framework of VOLKSBANK WIEN AG and has confirmed compliance with ICMA Principles and Guidelines.</w:t>
      </w:r>
    </w:p>
    <w:p w14:paraId="54C5E180" w14:textId="77777777" w:rsidR="004A0E5E" w:rsidRDefault="00000000">
      <w:r>
        <w:t>Currently, all green bonds, social bonds and sustainable bonds that are issued within a framework widely recognised in the market are considered to be ESG bonds.</w:t>
      </w:r>
    </w:p>
    <w:p w14:paraId="4668BFF2" w14:textId="77777777" w:rsidR="004A0E5E" w:rsidRDefault="00000000">
      <w:r>
        <w:t>During the relevant assessment, topics such as energy efficiency, air pollution, environmental damage and biodiversity are dealt with.</w:t>
      </w:r>
    </w:p>
    <w:p w14:paraId="3B987597" w14:textId="77777777" w:rsidR="004A0E5E" w:rsidRDefault="00000000">
      <w:r>
        <w:t>Risk management, Qualitative information on environmental risks, lit.</w:t>
      </w:r>
    </w:p>
    <w:p w14:paraId="62E3F10E" w14:textId="77777777" w:rsidR="004A0E5E" w:rsidRDefault="00000000">
      <w:r>
        <w:lastRenderedPageBreak/>
        <w:t>They support the reasonable dimensions and the diversity of regional economic structures as opposed to monopolies.</w:t>
      </w:r>
    </w:p>
    <w:p w14:paraId="5DA37FB3" w14:textId="77777777" w:rsidR="004A0E5E" w:rsidRDefault="00000000">
      <w:r>
        <w:t>Sustainability from the cooperatives perspective, Ecological sustainability manifests itself, for instance, in energy cooperatives that contribute to the achievement of climate targets, and regional independence from the commercial energy suppliers and uncontrollable electricity price increases.</w:t>
      </w:r>
    </w:p>
    <w:p w14:paraId="6466D928" w14:textId="77777777" w:rsidR="004A0E5E" w:rsidRDefault="00000000">
      <w:r>
        <w:t>With regard to responsible corporate behaviour with a focus on human rights, VOLKSBANK WIEN AG has two further guidelines, the Data Protection Manual and the Diversity Policy.</w:t>
      </w:r>
    </w:p>
    <w:p w14:paraId="58A5B948" w14:textId="77777777" w:rsidR="004A0E5E" w:rsidRDefault="00000000">
      <w:r>
        <w:t>To ensure compliance with human rights in the companys core business, for example, industries and business areas have been defined where the bank will not enter into business relationships.</w:t>
      </w:r>
    </w:p>
    <w:p w14:paraId="68C1F29E" w14:textId="77777777" w:rsidR="004A0E5E" w:rsidRDefault="00000000">
      <w:r>
        <w:t>A policy statement by the Managing Board of VOLKSBANK WIEN AG and approved by the NAKO regarding the protection of human rights Human Rights Policy underscores the existing position of Volksbank, emphasizing the latters corporate duty of care.</w:t>
      </w:r>
    </w:p>
    <w:p w14:paraId="73859414" w14:textId="77777777" w:rsidR="004A0E5E" w:rsidRDefault="00000000">
      <w:r>
        <w:t>The entire Managing Board is responsible for defining roles and responsibilities for managing sustainability risks within the three lines of defence of the business organisation and to ensure a clear assignment of tasks and duties.</w:t>
      </w:r>
    </w:p>
    <w:p w14:paraId="668EA6B2" w14:textId="77777777" w:rsidR="004A0E5E" w:rsidRDefault="00000000">
      <w:r>
        <w:t>Steering and control activities by the Managing Board are based on sustainability goals, which also include the monitoring of ESG risks.</w:t>
      </w:r>
    </w:p>
    <w:p w14:paraId="099DD601" w14:textId="77777777" w:rsidR="004A0E5E" w:rsidRDefault="00000000">
      <w:r>
        <w:t>The Sustainability Report contains all measures and goals implemented as well as an outlook on further plans with regard to the material topics of the Association of Volksbanks.</w:t>
      </w:r>
    </w:p>
    <w:p w14:paraId="0727A7F4" w14:textId="77777777" w:rsidR="004A0E5E" w:rsidRDefault="00000000">
      <w:r>
        <w:t>The application of the GRI standards as a de facto standard for sustainability reporting ensures continuous and standardised reporting.</w:t>
      </w:r>
    </w:p>
    <w:p w14:paraId="1762E8FA" w14:textId="77777777" w:rsidR="004A0E5E" w:rsidRDefault="00000000">
      <w:r>
        <w:t>Within the Association of Volksbanks, sustainability risks are not considered as a separate risk type, but are mapped within the existing risk types and accordingly are embedded in the existing organisational structure as an integral part of bank management and of the risk framework.</w:t>
      </w:r>
    </w:p>
    <w:p w14:paraId="48906E2D" w14:textId="77777777" w:rsidR="004A0E5E" w:rsidRDefault="00000000">
      <w:r>
        <w:t>The NAKO is a decision-making body of the entire Managing Board and serves to advise on and monitor all sustainability-related issues, ensuring that decisions are in line with the sustainability strategy and sustainability goals.</w:t>
      </w:r>
    </w:p>
    <w:p w14:paraId="67DF8664" w14:textId="77777777" w:rsidR="004A0E5E" w:rsidRDefault="00000000">
      <w:r>
        <w:t>Members of the NAKO include, among others, the internal control functions Compliance and Risk Control.</w:t>
      </w:r>
    </w:p>
    <w:p w14:paraId="1F2FED74" w14:textId="77777777" w:rsidR="004A0E5E" w:rsidRDefault="00000000">
      <w:r>
        <w:t>The remuneration policy is based on a holistic approach that not only focuses on financial success, but also on sustainable development and social responsibility.</w:t>
      </w:r>
    </w:p>
    <w:p w14:paraId="0CB53583" w14:textId="77777777" w:rsidR="004A0E5E" w:rsidRDefault="00000000">
      <w:r>
        <w:lastRenderedPageBreak/>
        <w:t>The fixed bonus model is directly linked to the company results at Association level and ensures that bonus payments employee profit-sharing are linked to the profitability, earnings, risk management and, in particular, the sustainability performance of the Association.</w:t>
      </w:r>
    </w:p>
    <w:p w14:paraId="1ED2A92D" w14:textId="77777777" w:rsidR="004A0E5E" w:rsidRDefault="00000000">
      <w:r>
        <w:t>Aspects such as reducing environmental impact, promoting social responsibility and supporting sustainable economic development play a key role here.</w:t>
      </w:r>
    </w:p>
    <w:p w14:paraId="12B0DADF" w14:textId="77777777" w:rsidR="004A0E5E" w:rsidRDefault="00000000">
      <w:r>
        <w:t>By integrating sustainability indicators in the remuneration system and through the close link between remuneration and these goals and the relevant performance, the company makes sure that the Association of Volksbanks strives to make a positive contribution to overcoming global challenges and promoting sustainable development.</w:t>
      </w:r>
    </w:p>
    <w:p w14:paraId="25C96758" w14:textId="77777777" w:rsidR="004A0E5E" w:rsidRDefault="00000000">
      <w:r>
        <w:t>The company considers it its mission to support social and arts facilities as well as sports associations in a spirit of partnership.</w:t>
      </w:r>
    </w:p>
    <w:p w14:paraId="3A8E55A3" w14:textId="77777777" w:rsidR="004A0E5E" w:rsidRDefault="00000000">
      <w:r>
        <w:t>One essential aspect of the sustainability policy of the Association of Volksbanks is to support sports, cultural and socialcharitable activities, thus making an important contribution to society at large.</w:t>
      </w:r>
    </w:p>
    <w:p w14:paraId="017830AD" w14:textId="77777777" w:rsidR="004A0E5E" w:rsidRDefault="00000000">
      <w:r>
        <w:t>Within the scope of our sustainable business model, we offer meaningful work that we support through top-level training and development opportunities.</w:t>
      </w:r>
    </w:p>
    <w:p w14:paraId="7AF003E2" w14:textId="77777777" w:rsidR="004A0E5E" w:rsidRDefault="00000000">
      <w:r>
        <w:t>For years, the Association of Volksbanks has been committed to a fair and positive working environment for all employees, with a strong focus on diversity and inclusion.</w:t>
      </w:r>
    </w:p>
    <w:p w14:paraId="64D1E74B" w14:textId="77777777" w:rsidR="004A0E5E" w:rsidRDefault="00000000">
      <w:r>
        <w:t>The aim of living diversity is to create an organisational culture where no one is disadvantaged and everyone is able to develop and unfold their potentials.</w:t>
      </w:r>
    </w:p>
    <w:p w14:paraId="63A306BB" w14:textId="77777777" w:rsidR="004A0E5E" w:rsidRDefault="00000000">
      <w:r>
        <w:t>For the Association of Volksbanks, further training is an essential component of HR development and employee retention in order to ensure and develop the knowledge and skills of the employees required to implement the relationship bank of the future strategy throughout the Association.</w:t>
      </w:r>
    </w:p>
    <w:p w14:paraId="00460FA6" w14:textId="77777777" w:rsidR="004A0E5E" w:rsidRDefault="00000000">
      <w:r>
        <w:t>This includes listening to, and systematically using, employee feedback to develop the organisation and executives.</w:t>
      </w:r>
    </w:p>
    <w:p w14:paraId="1AD3135F" w14:textId="77777777" w:rsidR="004A0E5E" w:rsidRDefault="00000000">
      <w:r>
        <w:t>In order to be able to guarantee and develop these resources in the long term, an annual appraisal interview is held between supervisors and employees.</w:t>
      </w:r>
    </w:p>
    <w:p w14:paraId="2E9AE29B" w14:textId="77777777" w:rsidR="004A0E5E" w:rsidRDefault="00000000">
      <w:r>
        <w:t>The aim is to look back on the past period, to reflect on the joint successes, learnings and areas of development, and to define and plan further joint goals.</w:t>
      </w:r>
    </w:p>
    <w:p w14:paraId="06F413ED" w14:textId="77777777" w:rsidR="004A0E5E" w:rsidRDefault="00000000">
      <w:r>
        <w:t>According to the ASchG, employers are obliged to ensure the safety and health of employees with regard to all work-related aspects.</w:t>
      </w:r>
    </w:p>
    <w:p w14:paraId="5CAD26BD" w14:textId="77777777" w:rsidR="004A0E5E" w:rsidRDefault="00000000">
      <w:r>
        <w:t>Employees are obliged to comply with applicable protective measures and to follow the employers instructions.</w:t>
      </w:r>
    </w:p>
    <w:p w14:paraId="79B410F9" w14:textId="77777777" w:rsidR="004A0E5E" w:rsidRDefault="00000000">
      <w:r>
        <w:lastRenderedPageBreak/>
        <w:t>The implementation of the ASchG within the Association of Volksbanks as well as compliance with or observance of the provisions of other laws such as the Austrian Workplace Ordinance AStV are described in an internal working instruction.</w:t>
      </w:r>
    </w:p>
    <w:p w14:paraId="0BFC2B61" w14:textId="77777777" w:rsidR="004A0E5E" w:rsidRDefault="00000000">
      <w:r>
        <w:t>Based on the customers goals and wishes regarding sustainability, account managers must not recommend any product unless it is in line with the customers sustainability preferences.</w:t>
      </w:r>
    </w:p>
    <w:p w14:paraId="6418D292" w14:textId="77777777" w:rsidR="004A0E5E" w:rsidRDefault="00000000">
      <w:r>
        <w:t>As regards responsible corporate behaviour with a focus on human rights, a number of guidelines have been established across the Association.</w:t>
      </w:r>
    </w:p>
    <w:p w14:paraId="27531CEF" w14:textId="77777777" w:rsidR="004A0E5E" w:rsidRDefault="00000000">
      <w:r>
        <w:t>To ensure compliance with human rights in the companys core business, for example, industries and business areas have been defined where the bank will not enter into business relationships.</w:t>
      </w:r>
    </w:p>
    <w:p w14:paraId="3A89B3E6" w14:textId="77777777" w:rsidR="004A0E5E" w:rsidRDefault="00000000">
      <w:r>
        <w:t>In addition, employee training events have been carried out, and care is taken to ensure that business partners comply with human rights.</w:t>
      </w:r>
    </w:p>
    <w:p w14:paraId="4FC74570" w14:textId="77777777" w:rsidR="004A0E5E" w:rsidRDefault="00000000">
      <w:r>
        <w:t>Qualitative information on governance risks a Integration of the efficiency of counterparties in corporate governance terms into the governance rules of the institution, including the committees of the top management body and the committees responsible for making decisions in economic, environmental and social matters The Association takes care of the core services of a retail bank itself, loans, deposits and payment transactions.</w:t>
      </w:r>
    </w:p>
    <w:p w14:paraId="2ABFAD16" w14:textId="77777777" w:rsidR="004A0E5E" w:rsidRDefault="00000000">
      <w:r>
        <w:t>The topics are selected considering the ecological and social impact of the sustainability topics identified, as well as their relevance to stakeholders.</w:t>
      </w:r>
    </w:p>
    <w:p w14:paraId="165FDED7" w14:textId="77777777" w:rsidR="004A0E5E" w:rsidRDefault="00000000">
      <w:r>
        <w:t>Together with the assessment of sustainability aspects from the stakeholders perspective, the dual materiality analysis forms the basis for future reporting in accordance with the CSRD, which will be implemented from the 2024 financial year.</w:t>
      </w:r>
    </w:p>
    <w:p w14:paraId="76F49A45" w14:textId="77777777" w:rsidR="004A0E5E" w:rsidRDefault="00000000">
      <w:r>
        <w:t>To implement the principles anchored therein and to support the banks employees in avoiding mistakes and in strengthening the trust of customers and business partners in VOLKSBANK WIEN AG, accompanying measures have been implemented, among others, a clear organisational structure with defined responsibilities, structured written rules, target group-oriented training with practical examples, annual appraisal interviews, specialised staff in the Compliance function, a stringent complaints procedure, and transparent and consistent sanction processes.</w:t>
      </w:r>
    </w:p>
    <w:p w14:paraId="20CF43CD" w14:textId="77777777" w:rsidR="004A0E5E" w:rsidRDefault="00000000">
      <w:r>
        <w:t>In operational terms, this requirement is implemented in the General Instruction on Compliance and in the corresponding working instruction of the Association.</w:t>
      </w:r>
    </w:p>
    <w:p w14:paraId="4A68D72E" w14:textId="77777777" w:rsidR="004A0E5E" w:rsidRDefault="00000000">
      <w:r>
        <w:t>Details on the RAF and the risk strategy are included in chapter 2 Risk management and governance.</w:t>
      </w:r>
    </w:p>
    <w:p w14:paraId="3313D308" w14:textId="77777777" w:rsidR="004A0E5E" w:rsidRDefault="00000000">
      <w:r>
        <w:t>Transition risks arise as a result of the adjustment process toward a lower-carbon and more environmentally sustainable economy.</w:t>
      </w:r>
    </w:p>
    <w:p w14:paraId="1A93B326" w14:textId="77777777" w:rsidR="004A0E5E" w:rsidRDefault="00000000">
      <w:r>
        <w:lastRenderedPageBreak/>
        <w:t>Reporting in accordance with the recommendations of the Task Force on Climate- Related Financial Disclosures focuses on risks and opportunities arising from the consequences of climate change.</w:t>
      </w:r>
    </w:p>
    <w:p w14:paraId="2F4C7918" w14:textId="77777777" w:rsidR="004A0E5E" w:rsidRDefault="00000000">
      <w:r>
        <w:t>As regards the requirements of various stakeholders in terms of transparency and disclosure supervisory authority, rating agencies, auditors, customers, etc.</w:t>
      </w:r>
    </w:p>
    <w:p w14:paraId="23CE61B7" w14:textId="77777777" w:rsidR="004A0E5E" w:rsidRDefault="00000000">
      <w:r>
        <w:t>The 17 risk events included in the ESG heat map are derived from the United Nations Sustainable Development Goals SDGs.</w:t>
      </w:r>
    </w:p>
    <w:p w14:paraId="3F8774B5" w14:textId="77777777" w:rsidR="004A0E5E" w:rsidRDefault="00000000">
      <w:r>
        <w:t>For this purpose, climate and environmental influences noise, flooding, hazard zones, energy efficiency energy certificate, year of construction, year of refurbishment and the use of fossil fuels oil, gas are documented and incorporated into the assessment.</w:t>
      </w:r>
    </w:p>
    <w:p w14:paraId="4A952BAE" w14:textId="77777777" w:rsidR="004A0E5E" w:rsidRDefault="00000000">
      <w:r>
        <w:t>If a real property is located within the sphere of any climate or environmental hazard, the assessment must indicate if this fact is relevant in terms of value and if a corresponding impairment must be recognised.</w:t>
      </w:r>
    </w:p>
    <w:p w14:paraId="03DFC4AB" w14:textId="607BC1B4" w:rsidR="004A0E5E" w:rsidRDefault="00000000">
      <w:r>
        <w:t xml:space="preserve">For instance, when checking the customers repayment ability, the way in which climate change </w:t>
      </w:r>
      <w:r w:rsidR="00D3630B">
        <w:t>t</w:t>
      </w:r>
      <w:r>
        <w:t>ransformation costs will impact on the customers business is critically analysed.</w:t>
      </w:r>
    </w:p>
    <w:p w14:paraId="3A8875B1" w14:textId="77777777" w:rsidR="004A0E5E" w:rsidRDefault="00000000">
      <w:r>
        <w:t>For the purpose of identifying those sectors and economic activities that have a greater negative impact on the financed emissions of the Association of Volksbanks due to higher GHG emission intensities, a 2024 decarbonisation strategy was adopted that includes measurable goals.</w:t>
      </w:r>
    </w:p>
    <w:p w14:paraId="2017C92A" w14:textId="77777777" w:rsidR="004A0E5E" w:rsidRDefault="00000000">
      <w:r>
        <w:t>If the goal for the reduction of emissions is not reached, corresponding measures for new business in carbon-intensive sectors must be defined to counter that trend.</w:t>
      </w:r>
    </w:p>
    <w:p w14:paraId="4B8D1D22" w14:textId="77777777" w:rsidR="004A0E5E" w:rsidRDefault="00000000">
      <w:r>
        <w:t>In 2023, financed greenhouse gas emissions GHG emissions, so-called indirect and downstream emissions associated with the lending and investment activities of the Association of Volksbanks, were calculated using an ESG software.</w:t>
      </w:r>
    </w:p>
    <w:p w14:paraId="7FA38920" w14:textId="77777777" w:rsidR="004A0E5E" w:rsidRDefault="00000000">
      <w:r>
        <w:t>In renewable energies, in optimising supply chain and circular business management as well as in sustainable technologies and innovations will compensate or reduce the emission intensity of carbon-intensive sectors continuously.</w:t>
      </w:r>
    </w:p>
    <w:p w14:paraId="3FD0806B" w14:textId="77777777" w:rsidR="004A0E5E" w:rsidRDefault="00000000">
      <w:r>
        <w:t>To achieve the reduction of GHG emissions, various political and legal measures haven been taken in Austria such as subsidies for renewable energy and sustainable means of transport, laws to increase energy efficiency, waiver of fossil fuels.</w:t>
      </w:r>
    </w:p>
    <w:p w14:paraId="3CDB6303" w14:textId="77777777" w:rsidR="004A0E5E" w:rsidRDefault="00000000">
      <w:r>
        <w:t>By improving the emission intensities in the real economy, the Association of Volksbanks expects to achieve a reduction of GHG emissions in the loan portfolio when credit liabilities in more carbon-intensive sectors are paid back with simultaneous credit growth in sectors with lower carbon emissions.</w:t>
      </w:r>
    </w:p>
    <w:p w14:paraId="47723146" w14:textId="77777777" w:rsidR="004A0E5E" w:rsidRDefault="00000000">
      <w:r>
        <w:lastRenderedPageBreak/>
        <w:t>Taking into account the effect from investments in the energy transition, a 2024 decarbonisation strategy with measurable goals was adopted for the Association of Volksbanks.</w:t>
      </w:r>
    </w:p>
    <w:p w14:paraId="02D91357" w14:textId="77777777" w:rsidR="004A0E5E" w:rsidRDefault="00000000">
      <w:r>
        <w:t>If the goal for the reduction of emissions is not reached, corresponding measures for new business in carbon-intensive sectors must be defined to counter that trend.</w:t>
      </w:r>
    </w:p>
    <w:p w14:paraId="5CC799F7" w14:textId="77777777" w:rsidR="004A0E5E" w:rsidRDefault="00000000">
      <w:r>
        <w:t>The analyses show that the Association of Volksbanks can maintain all regulatory capital ratios and adequate liquidity levels even if potential ESG risks materialise, and that the resilience of the business model is not jeopardised over the simulated period due to ESG risks.</w:t>
      </w:r>
    </w:p>
    <w:p w14:paraId="40412220" w14:textId="5B88337F" w:rsidR="004A0E5E" w:rsidRDefault="00000000">
      <w:r>
        <w:t>Availability, quality and accuracy of the data and efforts to improve these aspects Data are an essential factor with a view to identifying, measuring, monitoring and managing ESG risks.</w:t>
      </w:r>
    </w:p>
    <w:p w14:paraId="1DC70503" w14:textId="77777777" w:rsidR="004A0E5E" w:rsidRDefault="00000000">
      <w:r>
        <w:t>A comprehensive gap analysis taking account of regulatory requirements, in particular the expectation of the ECB under the Guideline on Climate and Environmental Risks and the EBA Guideline Loan Origination and Monitoring has already been carried out as part of the sustainability project of the Association of Volksbanks, and measures to close the gaps identified were initiated or implemented, among others the implementation of ESG scoring, determination of energy certificates, extended documentation requirement for climate and environmental risks within the scope of real estate valuations.</w:t>
      </w:r>
    </w:p>
    <w:p w14:paraId="77180054" w14:textId="77777777" w:rsidR="004A0E5E" w:rsidRDefault="00000000">
      <w:r>
        <w:t>In order to achieve the strategic plans and ensure the requirements for ESG data, the Association of Volksbanks set up an ESG data project in the 4th quarter of 2022 to continue and expand the topics addressed by the sustainability project in particular for the loan portfolio.</w:t>
      </w:r>
    </w:p>
    <w:p w14:paraId="6ED19837" w14:textId="77777777" w:rsidR="004A0E5E" w:rsidRDefault="00000000">
      <w:r>
        <w:t>This project ensures the comprehensive ESG data requirements for internal control and risk management as well as sustainability reporting and regulatory disclosure.</w:t>
      </w:r>
    </w:p>
    <w:p w14:paraId="79C96000" w14:textId="77777777" w:rsidR="004A0E5E" w:rsidRDefault="00000000">
      <w:r>
        <w:t>The Association of Volksbanks aims to make its sustainability strategy measurable and controllable and to take account of major sustainability risks by using divisional goals, KPIs and KRIs.</w:t>
      </w:r>
    </w:p>
    <w:p w14:paraId="3D74E11A" w14:textId="77777777" w:rsidR="004A0E5E" w:rsidRDefault="00000000">
      <w:r>
        <w:t>The following transmission channels were considered, for example, Profitability Real estate values Household incomes Performance of investments Cost of implementation of and compliance with regulatory requirements Legal costs The qualitative assessment based on the ESG heat maps for 2023 has shown that existing risks due to ESG risks will not materially increase overall.</w:t>
      </w:r>
    </w:p>
    <w:p w14:paraId="47EC7B16" w14:textId="77777777" w:rsidR="004A0E5E" w:rsidRDefault="00000000">
      <w:r>
        <w:t>The long-term integration of ESG aspects into the business model of the Association of Volksbanks is managed via the sustainability strategy, which is part of the business strategy.</w:t>
      </w:r>
    </w:p>
    <w:p w14:paraId="563AD042" w14:textId="77777777" w:rsidR="004A0E5E" w:rsidRDefault="00000000">
      <w:r>
        <w:lastRenderedPageBreak/>
        <w:t>Building on existing initiatives such as the United Nations SDGs, the Paris Agreement on Climate Change and the United Nations Global Compact, it sets out concrete plans and corresponding framework conditions in connection with products and services.</w:t>
      </w:r>
    </w:p>
    <w:p w14:paraId="295468F1" w14:textId="77777777" w:rsidR="004A0E5E" w:rsidRDefault="00000000">
      <w:r>
        <w:t>By committing to the Ten Principles of the UNGC regarding human rights, labour, the environment and anti-corruption, the company emphasizes the importance of responsible governance and sustainability within the scope of its business model.</w:t>
      </w:r>
    </w:p>
    <w:p w14:paraId="264AADC9" w14:textId="77777777" w:rsidR="004A0E5E" w:rsidRDefault="00000000">
      <w:r>
        <w:t>The principles regarding human rights, in particular, Principle 1 and Principle 2 as well as the principles regarding labour Principle 3 to Principle 6 focus on the protection of human rights.</w:t>
      </w:r>
    </w:p>
    <w:p w14:paraId="1ACA7216" w14:textId="6EA8B1CD" w:rsidR="004A0E5E" w:rsidRDefault="00000000">
      <w:r>
        <w:t>As a signatory of the UNGC, VOLKSBANK WIEN AG is committed to, Supporting and respecting the protection of internationally proclaimed human rights within its sphere of influence Principle 1, making sure that it is not complicit in human rights abuses Principle 2, upholding the freedom of association and the effective recognition of the right to collective bargaining Principle 3, eliminating all forms of forced and compulsory labour Principle 4, effectively abolishing child labour Principle 5, eliminating discrimination in respect of employment and occupation Principle 6.</w:t>
      </w:r>
    </w:p>
    <w:sectPr w:rsidR="004A0E5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1564177829">
    <w:abstractNumId w:val="8"/>
  </w:num>
  <w:num w:numId="2" w16cid:durableId="2030526762">
    <w:abstractNumId w:val="6"/>
  </w:num>
  <w:num w:numId="3" w16cid:durableId="1181047901">
    <w:abstractNumId w:val="5"/>
  </w:num>
  <w:num w:numId="4" w16cid:durableId="1479805739">
    <w:abstractNumId w:val="4"/>
  </w:num>
  <w:num w:numId="5" w16cid:durableId="1917786704">
    <w:abstractNumId w:val="7"/>
  </w:num>
  <w:num w:numId="6" w16cid:durableId="1508251980">
    <w:abstractNumId w:val="3"/>
  </w:num>
  <w:num w:numId="7" w16cid:durableId="1368485477">
    <w:abstractNumId w:val="2"/>
  </w:num>
  <w:num w:numId="8" w16cid:durableId="938297465">
    <w:abstractNumId w:val="1"/>
  </w:num>
  <w:num w:numId="9" w16cid:durableId="10957056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A0E5E"/>
    <w:rsid w:val="004F5755"/>
    <w:rsid w:val="008E6742"/>
    <w:rsid w:val="0091061F"/>
    <w:rsid w:val="00AA1D8D"/>
    <w:rsid w:val="00B47730"/>
    <w:rsid w:val="00C75F60"/>
    <w:rsid w:val="00CB0664"/>
    <w:rsid w:val="00D3630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8894B7"/>
  <w14:defaultImageDpi w14:val="300"/>
  <w15:docId w15:val="{05F32CE3-404E-0C4C-B445-69D54B43D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14</Pages>
  <Words>5040</Words>
  <Characters>28731</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33704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5</cp:revision>
  <dcterms:created xsi:type="dcterms:W3CDTF">2013-12-23T23:15:00Z</dcterms:created>
  <dcterms:modified xsi:type="dcterms:W3CDTF">2025-08-03T12:07:00Z</dcterms:modified>
  <cp:category/>
</cp:coreProperties>
</file>