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097E1" w14:textId="77777777" w:rsidR="00CD09B7" w:rsidRDefault="00000000">
      <w:r>
        <w:t>The relevant context is provided, on the one hand, by the three risk categories of environmental risks, social risks and governance risks and, on the other hand, by the more detailed division per risk category contained in the annex by business strategy and processes, governance and risk management.</w:t>
      </w:r>
    </w:p>
    <w:p w14:paraId="30AF80F6" w14:textId="77777777" w:rsidR="00CD09B7" w:rsidRDefault="00000000">
      <w:r>
        <w:t>Our focus is on customers, partners and employees.</w:t>
      </w:r>
    </w:p>
    <w:p w14:paraId="57F31842" w14:textId="77777777" w:rsidR="00CD09B7" w:rsidRDefault="00000000">
      <w:r>
        <w:t>This business model, in combination with the focus on Austria, reduces the risk of negative effects on human rights and the environment, as well as any associated reputational risk for the Association of Volksbanks legal framework applicable in Austria.</w:t>
      </w:r>
    </w:p>
    <w:p w14:paraId="23F69357" w14:textId="77777777" w:rsidR="00CD09B7" w:rsidRDefault="00000000">
      <w:r>
        <w:t>The material topics forming the basis of the banks sustainability management were worked out together with stakeholders.</w:t>
      </w:r>
    </w:p>
    <w:p w14:paraId="457F31A5" w14:textId="77777777" w:rsidR="00CD09B7" w:rsidRDefault="00000000">
      <w:r>
        <w:t>The topics were selected considering the ecological and social impact of the sustainability topics identified, as well as their relevance to stakeholders.</w:t>
      </w:r>
    </w:p>
    <w:p w14:paraId="3BA053E5" w14:textId="77777777" w:rsidR="00CD09B7" w:rsidRDefault="00000000">
      <w:r>
        <w:t>The identification and impact assessment of sustainability topics are continuously monitored in workshops with employees and the managing board members of the Volksbanks.</w:t>
      </w:r>
    </w:p>
    <w:p w14:paraId="10BF4093" w14:textId="77777777" w:rsidR="00CD09B7" w:rsidRDefault="00000000">
      <w:r>
        <w:t>Together with external sustainability experts, all sustainability aspects were assessed in terms of their potential and actual environmental and social impact in accordance with the ESRS.</w:t>
      </w:r>
    </w:p>
    <w:p w14:paraId="141D0CB7" w14:textId="77777777" w:rsidR="00CD09B7" w:rsidRDefault="00000000">
      <w:r>
        <w:t>Together with the assessment of sustainability aspects from the stakeholders perspective, the dual materiality analysis forms the basis for future reporting in accordance with the CSRD, which will be implemented from the 2024 financial year.</w:t>
      </w:r>
    </w:p>
    <w:p w14:paraId="397D7CA2" w14:textId="77777777" w:rsidR="00CD09B7" w:rsidRDefault="00000000">
      <w:r>
        <w:t>Reporting in accordance with the recommendations of the Task Force on Climate-Related Financial Disclosures focuses on risks and opportunities arising from the consequences of climate change.</w:t>
      </w:r>
    </w:p>
    <w:p w14:paraId="1E231684" w14:textId="77777777" w:rsidR="00CD09B7" w:rsidRDefault="00000000">
      <w:r>
        <w:t>Sustainability governance a General governance of the Association In line with the governance principles of the Association of Volksbanks, the Managing Board of VOLKSBANK WIEN AG, in its function as central organisation , bears overall responsibility for the Association with regard to the definition of the strategic corporate objectives, the governance framework and the corporate culture.</w:t>
      </w:r>
    </w:p>
    <w:p w14:paraId="43237A41" w14:textId="77777777" w:rsidR="00CD09B7" w:rsidRDefault="00000000">
      <w:r>
        <w:t>The governance of the Association applies equally to all topics relating to sustainable opportunities and risks and their management for the following dimensions, environment, social matters and corporate strategy.</w:t>
      </w:r>
    </w:p>
    <w:p w14:paraId="4315E136" w14:textId="77777777" w:rsidR="00CD09B7" w:rsidRDefault="00000000">
      <w:r>
        <w:t>In order to accomplish the strategic goals and to ensure the requirements for ESG data, an ESG data project was set up with Risk Control acting as project manager to continue and expand the topics addressed by the Sustainability Project.</w:t>
      </w:r>
    </w:p>
    <w:p w14:paraId="396DA70A" w14:textId="77777777" w:rsidR="00CD09B7" w:rsidRDefault="00000000">
      <w:r>
        <w:lastRenderedPageBreak/>
        <w:t>All divisions of VOLKSBANK WIEN AG as central organisation are involved in implementing measures regarding sustainability goals and have each appointed sustainability ambassadors to accompany internal communication on the topic of sustainability and to support the process of achieving their sustainability goals with forward-looking ideas.</w:t>
      </w:r>
    </w:p>
    <w:p w14:paraId="3EADFCFB" w14:textId="77777777" w:rsidR="00CD09B7" w:rsidRDefault="00000000">
      <w:r>
        <w:t>The Sustainability Report of the Association of Volksbanks contains all measures and goals implemented in 2023 as well as an outlook on further plans with regard to the material topics of the Association of Volksbanks.</w:t>
      </w:r>
    </w:p>
    <w:p w14:paraId="33CEF490" w14:textId="77777777" w:rsidR="00CD09B7" w:rsidRDefault="00000000">
      <w:r>
        <w:t>The NAKO manages the sustainable goals of the Association of Volksbanks see heading Sustainability goals, adopts resolutions on sustainable opportunities and risks, reports on ESG aspects and explains new trends and innovations.</w:t>
      </w:r>
    </w:p>
    <w:p w14:paraId="14FD85B1" w14:textId="77777777" w:rsidR="00CD09B7" w:rsidRDefault="00000000">
      <w:r>
        <w:t>They are responsible for ESG topics in the primary banks and support the managing boards of the primary banks in their efforts to manage the banks based on the sustainability goals.</w:t>
      </w:r>
    </w:p>
    <w:p w14:paraId="5CFE8395" w14:textId="77777777" w:rsidR="00CD09B7" w:rsidRDefault="00000000">
      <w:r>
        <w:t>The implementation of the sustainability strategy in the Association of Volksbanks and the management of risks and opportunities is taken care of by the Sustainability Committee in the Association.</w:t>
      </w:r>
    </w:p>
    <w:p w14:paraId="2B0AD262" w14:textId="77777777" w:rsidR="00CD09B7" w:rsidRDefault="00000000">
      <w:r>
        <w:t>By defining sustainability principles, the sustainability strategy creates consistent framework conditions for a uniform approach to environmental, social and corporate governance issues.</w:t>
      </w:r>
    </w:p>
    <w:p w14:paraId="5935B89D" w14:textId="77777777" w:rsidR="00CD09B7" w:rsidRDefault="00000000">
      <w:r>
        <w:t>It is part of the business strategy and describes, among other things, how the Association of Volksbanks integrates ESG criteria into the organisation and the core business, how it takes ESG risks into account and exploits development potentials in connection with sustainability.</w:t>
      </w:r>
    </w:p>
    <w:p w14:paraId="7CF85605" w14:textId="77777777" w:rsidR="00CD09B7" w:rsidRDefault="00000000">
      <w:r>
        <w:t>In 2021, a sustainability strategy was created for the Association of Volksbanks for the first time, and sustainability was included in all chapters of the strategy of the Association.</w:t>
      </w:r>
    </w:p>
    <w:p w14:paraId="5E08E8BD" w14:textId="77777777" w:rsidR="00CD09B7" w:rsidRDefault="00000000">
      <w:r>
        <w:t>In 2023, financed greenhouse gas emissions GHG emissions, so-called indirect and downstream emissions associated with the lending and investment activities of the Association of Volksbanks, were calculated using an ESG software.</w:t>
      </w:r>
    </w:p>
    <w:p w14:paraId="16D57C4B" w14:textId="77777777" w:rsidR="00CD09B7" w:rsidRDefault="00000000">
      <w:r>
        <w:t>A 2024 decarbonisation strategy with measurable goals was derived therefrom and adopted for the Association of Volksbanks.</w:t>
      </w:r>
    </w:p>
    <w:p w14:paraId="170E16BA" w14:textId="77777777" w:rsidR="00CD09B7" w:rsidRDefault="00000000">
      <w:r>
        <w:t>The Managing Board is fully involved in the strategy process and is responsible for approving the sustainability strategy.</w:t>
      </w:r>
    </w:p>
    <w:p w14:paraId="128A8A02" w14:textId="77777777" w:rsidR="00CD09B7" w:rsidRDefault="00000000">
      <w:r>
        <w:t>Opportunity and risk analyses were carried out to develop the sustainability strategy, and the findings were incorporated into the strategy.</w:t>
      </w:r>
    </w:p>
    <w:p w14:paraId="27CF6993" w14:textId="7BD3F5D6" w:rsidR="00CD09B7" w:rsidRDefault="00000000">
      <w:r>
        <w:t>The sustainability strategy is constantly being developed and adapted to the evolving regulatory environment, new findings and innovations</w:t>
      </w:r>
      <w:r w:rsidR="00B20224">
        <w:t xml:space="preserve"> u</w:t>
      </w:r>
      <w:r>
        <w:t>pon joining the TCFD in 2023.</w:t>
      </w:r>
    </w:p>
    <w:p w14:paraId="5B11FDC6" w14:textId="77777777" w:rsidR="00CD09B7" w:rsidRDefault="00000000">
      <w:r>
        <w:lastRenderedPageBreak/>
        <w:t>Within the Sustainability Committee, steering and control activities are carried out by the Managing Board based on sustainability goals, which also include the monitoring of ESG risks.</w:t>
      </w:r>
    </w:p>
    <w:p w14:paraId="5C4178CF" w14:textId="77777777" w:rsidR="00CD09B7" w:rsidRDefault="00000000">
      <w:r>
        <w:t>Based on the sustainability goals, ten management KPIs have been developed, four environmental KPIs, three social KPIs, and three governance KPIs.</w:t>
      </w:r>
    </w:p>
    <w:p w14:paraId="56C47BE8" w14:textId="77777777" w:rsidR="00CD09B7" w:rsidRDefault="00000000">
      <w:r>
        <w:t>The indicators for measuring sustainability goals represent the current status, which is being continuously developed and updated.</w:t>
      </w:r>
    </w:p>
    <w:p w14:paraId="4AD263E6" w14:textId="77777777" w:rsidR="00CD09B7" w:rsidRDefault="00000000">
      <w:r>
        <w:t>Moreover, we take care to protect the environment, and the Association of Volksbanks is committed to advance environmentally friendly technologies and projects.</w:t>
      </w:r>
    </w:p>
    <w:p w14:paraId="044F489F" w14:textId="77777777" w:rsidR="00CD09B7" w:rsidRDefault="00000000">
      <w:r>
        <w:t>Currently, all green bonds, social bonds and sustainable bonds that are issued within a framework widely recognised in the market are considered to be ESG bonds.</w:t>
      </w:r>
    </w:p>
    <w:p w14:paraId="70A1BBF9" w14:textId="77777777" w:rsidR="00CD09B7" w:rsidRDefault="00000000">
      <w:r>
        <w:t>During the relevant assessment, topics such as energy efficiency, air pollution, environmental damage and biodiversity are dealt with.</w:t>
      </w:r>
    </w:p>
    <w:p w14:paraId="07B532DA" w14:textId="77777777" w:rsidR="00CD09B7" w:rsidRDefault="00000000">
      <w:r>
        <w:t>Risk management, Qualitative information on environmental risks, lit.</w:t>
      </w:r>
    </w:p>
    <w:p w14:paraId="4D6C7E2E" w14:textId="77777777" w:rsidR="00CD09B7" w:rsidRDefault="00000000">
      <w:r>
        <w:t>They support the reasonable dimensions and the diversity of regional economic structures as opposed to monopolies.</w:t>
      </w:r>
    </w:p>
    <w:p w14:paraId="56319243" w14:textId="77777777" w:rsidR="00CD09B7" w:rsidRDefault="00000000">
      <w:r>
        <w:t>Sustainability from the cooperatives perspective, Ecological sustainability manifests itself, for instance, in energy cooperatives that contribute to the achievement of climate targets, and regional independence from the commercial energy suppliers and uncontrollable electricity price increases.</w:t>
      </w:r>
    </w:p>
    <w:p w14:paraId="46C4EF3A" w14:textId="77777777" w:rsidR="00CD09B7" w:rsidRDefault="00000000">
      <w:r>
        <w:t>With regard to responsible corporate behaviour with a focus on human rights, VOLKSBANK WIEN AG has two further guidelines, the Data Protection Manual and the Diversity Policy.</w:t>
      </w:r>
    </w:p>
    <w:p w14:paraId="0C1A6A93" w14:textId="77777777" w:rsidR="00CD09B7" w:rsidRDefault="00000000">
      <w:r>
        <w:t>To ensure compliance with human rights in the companys core business, for example, industries and business areas have been defined where the bank will not enter into business relationships.</w:t>
      </w:r>
    </w:p>
    <w:p w14:paraId="6C774F75" w14:textId="77777777" w:rsidR="00CD09B7" w:rsidRDefault="00000000">
      <w:r>
        <w:t>A policy statement by the Managing Board of VOLKSBANK WIEN AG and approved by the NAKO regarding the protection of human rights Human Rights Policy underscores the existing position of Volksbank, emphasizing the latters corporate duty of care.</w:t>
      </w:r>
    </w:p>
    <w:p w14:paraId="38303557" w14:textId="77777777" w:rsidR="00CD09B7" w:rsidRDefault="00000000">
      <w:r>
        <w:t>The entire Managing Board is responsible for defining roles and competencies for managing sustainability risks within the three lines of defence of the business organisation and to ensure a clear assignment of tasks and duties.</w:t>
      </w:r>
    </w:p>
    <w:p w14:paraId="2C7B0B6C" w14:textId="77777777" w:rsidR="00CD09B7" w:rsidRDefault="00000000">
      <w:r>
        <w:t>Steering and control activities by the Managing Board are based on sustainability goals, which also include the monitoring of ESG risks.</w:t>
      </w:r>
    </w:p>
    <w:p w14:paraId="0771E649" w14:textId="77777777" w:rsidR="00CD09B7" w:rsidRDefault="00000000">
      <w:r>
        <w:lastRenderedPageBreak/>
        <w:t>The Sustainability Report contains all measures and goals implemented as well as an outlook on further plans with regard to the material topics of the Association of Volksbanks.</w:t>
      </w:r>
    </w:p>
    <w:p w14:paraId="379C2CE7" w14:textId="77777777" w:rsidR="00CD09B7" w:rsidRDefault="00000000">
      <w:r>
        <w:t>The application of the GRI standards as a de facto standard for sustainability reporting ensures continuous and standardised reporting.</w:t>
      </w:r>
    </w:p>
    <w:p w14:paraId="7D735E19" w14:textId="77777777" w:rsidR="00CD09B7" w:rsidRDefault="00000000">
      <w:r>
        <w:t>Within the Association of Volksbanks, sustainability risks are not considered as a separate risk type, but are mapped within the existing risk types and accordingly are embedded in the existing organisational structure as an integral part of bank management and of the risk framework.</w:t>
      </w:r>
    </w:p>
    <w:p w14:paraId="4DEDF086" w14:textId="77777777" w:rsidR="00CD09B7" w:rsidRDefault="00000000">
      <w:r>
        <w:t>The NAKO is a decision-making body of the entire Managing Board and serves to advise on and monitor all sustainability-related issues, ensuring that decisions are in line with the sustainability strategy and sustainability goals.</w:t>
      </w:r>
    </w:p>
    <w:p w14:paraId="3C311FDE" w14:textId="77777777" w:rsidR="00CD09B7" w:rsidRDefault="00000000">
      <w:r>
        <w:t>Members of the NAKO include, among others, the internal control functions Compliance and Risk Control.</w:t>
      </w:r>
    </w:p>
    <w:p w14:paraId="01F75FDA" w14:textId="77777777" w:rsidR="00CD09B7" w:rsidRDefault="00000000">
      <w:r>
        <w:t xml:space="preserve">The incentive systems </w:t>
      </w:r>
      <w:proofErr w:type="gramStart"/>
      <w:r>
        <w:t>take into account</w:t>
      </w:r>
      <w:proofErr w:type="gramEnd"/>
      <w:r>
        <w:t xml:space="preserve"> the sustainability goals of the Association, they are compatible with the risk strategy and with the Risk Appetite Framework, and they do not provide any incentives for taking excessive risks, incl.</w:t>
      </w:r>
    </w:p>
    <w:p w14:paraId="0A24E0ED" w14:textId="77777777" w:rsidR="00CD09B7" w:rsidRDefault="00000000">
      <w:r>
        <w:t>The remuneration policy is based on a holistic approach that not only focuses on financial success, but also on sustainable development and social responsibility.</w:t>
      </w:r>
    </w:p>
    <w:p w14:paraId="43D59674" w14:textId="77777777" w:rsidR="00CD09B7" w:rsidRDefault="00000000">
      <w:r>
        <w:t>The fixed bonus model is directly linked to the company results at Association level and ensures that bonus payments employee profit-sharing are linked to the profitability, earnings, risk management and, in particular, the sustainability performance of the Association.</w:t>
      </w:r>
    </w:p>
    <w:p w14:paraId="73F9AD01" w14:textId="77777777" w:rsidR="00CD09B7" w:rsidRDefault="00000000">
      <w:r>
        <w:t>Aspects such as reducing environmental impact, promoting social responsibility and supporting sustainable economic development play a key role here.</w:t>
      </w:r>
    </w:p>
    <w:p w14:paraId="4C6EFE37" w14:textId="77777777" w:rsidR="00CD09B7" w:rsidRDefault="00000000">
      <w:r>
        <w:t>By integrating sustainability indicators in the remuneration system and through the close link between remuneration and these goals and the relevant performance, the company makes sure that the Association of Volksbanks strives to make a positive contribution to overcoming global challenges and promoting sustainable development.</w:t>
      </w:r>
    </w:p>
    <w:p w14:paraId="591B71C0" w14:textId="77777777" w:rsidR="00CD09B7" w:rsidRDefault="00000000">
      <w:r>
        <w:t>The company considers it its mission to support social and arts facilities as well as sports associations in a spirit of partnership.</w:t>
      </w:r>
    </w:p>
    <w:p w14:paraId="0CE7B090" w14:textId="77777777" w:rsidR="00CD09B7" w:rsidRDefault="00000000">
      <w:r>
        <w:t>As a central element of the HR strategy, a promise to employees was formulated by the managing boards of the banks of the Association, which is supported by the employer values and the strategic HR guiding principles, addressing the challenges and opportunities arising from the current environment, As a modern and customer-oriented regional bank, we promise you performance-based remuneration with flexible working models in a corporate culture based on trust.</w:t>
      </w:r>
    </w:p>
    <w:p w14:paraId="2F6D47AD" w14:textId="77777777" w:rsidR="00CD09B7" w:rsidRDefault="00000000">
      <w:r>
        <w:lastRenderedPageBreak/>
        <w:t>Within the scope of our sustainable business model, we offer meaningful work that we support through top-level training and development opportunities.</w:t>
      </w:r>
    </w:p>
    <w:p w14:paraId="0E6376A4" w14:textId="77777777" w:rsidR="00CD09B7" w:rsidRDefault="00000000">
      <w:r>
        <w:t>For years, the Association of Volksbanks has been committed to a fair and positive working environment for all employees, with a strong focus on diversity and inclusion.</w:t>
      </w:r>
    </w:p>
    <w:p w14:paraId="18CB2D4C" w14:textId="77777777" w:rsidR="00CD09B7" w:rsidRDefault="00000000">
      <w:r>
        <w:t>The aim of living diversity is to create an organisational culture where no one is disadvantaged and everyone is able to develop and unfold their potentials.</w:t>
      </w:r>
    </w:p>
    <w:p w14:paraId="45958D88" w14:textId="77777777" w:rsidR="00CD09B7" w:rsidRDefault="00000000">
      <w:r>
        <w:t>For the Association of Volksbanks, further training is an essential component of HR development and employee retention in order to ensure and develop the knowledge and skills of the employees required to implement the relationship bank of the future strategy throughout the Association.</w:t>
      </w:r>
    </w:p>
    <w:p w14:paraId="15637AD8" w14:textId="77777777" w:rsidR="00CD09B7" w:rsidRDefault="00000000">
      <w:r>
        <w:t>This includes listening to, and systematically using, employee feedback to develop the organisation and executives.</w:t>
      </w:r>
    </w:p>
    <w:p w14:paraId="246C5B2E" w14:textId="77777777" w:rsidR="00CD09B7" w:rsidRDefault="00000000">
      <w:r>
        <w:t>The aim is to look back on the past period, to reflect on the joint successes, learnings and areas of development, and to define and plan further joint goals.</w:t>
      </w:r>
    </w:p>
    <w:p w14:paraId="6BF2BBB7" w14:textId="77777777" w:rsidR="00CD09B7" w:rsidRDefault="00000000">
      <w:r>
        <w:t>According to the ASchG, employers are obliged to ensure the safety and health of employees with regard to all work-related aspects.</w:t>
      </w:r>
    </w:p>
    <w:p w14:paraId="5A184AAC" w14:textId="77777777" w:rsidR="00CD09B7" w:rsidRDefault="00000000">
      <w:r>
        <w:t>Employees are obliged to comply with applicable protective measures and to follow the employers instructions.</w:t>
      </w:r>
    </w:p>
    <w:p w14:paraId="70F5979A" w14:textId="77777777" w:rsidR="00CD09B7" w:rsidRDefault="00000000">
      <w:r>
        <w:t>The implementation of the ASchG within the Association of Volksbanks as well as compliance with or observance of the provisions of other laws such as the Austrian Workplace Ordinance AStV are described in an internal working instruction.</w:t>
      </w:r>
    </w:p>
    <w:p w14:paraId="18C5D719" w14:textId="77777777" w:rsidR="00CD09B7" w:rsidRDefault="00000000">
      <w:r>
        <w:t>Based on the customers goals and wishes regarding sustainability, account managers must not recommend any product unless it is in line with the customers sustainability preferences.</w:t>
      </w:r>
    </w:p>
    <w:p w14:paraId="78D99FFD" w14:textId="77777777" w:rsidR="00CD09B7" w:rsidRDefault="00000000">
      <w:r>
        <w:t>As regards responsible corporate behaviour with a focus on human rights, a number of guidelines have been established across the Association.</w:t>
      </w:r>
    </w:p>
    <w:p w14:paraId="4FDB98CE" w14:textId="77777777" w:rsidR="00CD09B7" w:rsidRDefault="00000000">
      <w:r>
        <w:t>To ensure compliance with human rights in the companys core business, for example, industries and business areas have been defined where the bank will not enter into business relationships.</w:t>
      </w:r>
    </w:p>
    <w:p w14:paraId="36820641" w14:textId="77777777" w:rsidR="00CD09B7" w:rsidRDefault="00000000">
      <w:r>
        <w:t>In addition, employee training events have been carried out, and care is taken to ensure that business partners comply with human rights.</w:t>
      </w:r>
    </w:p>
    <w:p w14:paraId="3536C946" w14:textId="77777777" w:rsidR="00CD09B7" w:rsidRDefault="00000000">
      <w:r>
        <w:t>Additionally, various sustainability factors are taken into account to achieve sustainable goals and to promote long-term value creation within the Association of Volksbanks.</w:t>
      </w:r>
    </w:p>
    <w:p w14:paraId="11D45E38" w14:textId="77777777" w:rsidR="00CD09B7" w:rsidRDefault="00000000">
      <w:r>
        <w:lastRenderedPageBreak/>
        <w:t>These sustainability factors include the following, Compliance with labour law standards, We are committed to strictly comply with all applicable labour law provisions, thus ensuring the protection of our employees rights.</w:t>
      </w:r>
    </w:p>
    <w:p w14:paraId="1B2F5161" w14:textId="77777777" w:rsidR="00CD09B7" w:rsidRDefault="00000000">
      <w:r>
        <w:t>We strive to provide a safe working environment and take initiatives to promote the well-being of our employees.</w:t>
      </w:r>
    </w:p>
    <w:p w14:paraId="0151B136" w14:textId="77777777" w:rsidR="00CD09B7" w:rsidRDefault="00000000">
      <w:r>
        <w:t>Appropriate remuneration, Our remuneration policy provides for both fixed and variable remuneration components matching the sustainable cooperative business model and promoting the long-term stability of the credit institution.</w:t>
      </w:r>
    </w:p>
    <w:p w14:paraId="36081638" w14:textId="77777777" w:rsidR="00CD09B7" w:rsidRDefault="00000000">
      <w:r>
        <w:t>Fair working conditions, diversity, as well as training and further education, We lay great store by fair working conditions, and we actively promote diversity among our staff.</w:t>
      </w:r>
    </w:p>
    <w:p w14:paraId="6F49459F" w14:textId="77777777" w:rsidR="00CD09B7" w:rsidRDefault="00000000">
      <w:r>
        <w:t>Additionally, we support our employees on their career journey by offering targeted education and further training.</w:t>
      </w:r>
    </w:p>
    <w:p w14:paraId="6900E3EA" w14:textId="77777777" w:rsidR="00CD09B7" w:rsidRDefault="00000000">
      <w:r>
        <w:t>Encouraging social cohesion, Strengthening social cohesion among employees and beyond is one of the central concerns of our remuneration policy.</w:t>
      </w:r>
    </w:p>
    <w:p w14:paraId="62346B49" w14:textId="77777777" w:rsidR="00CD09B7" w:rsidRDefault="00000000">
      <w:r>
        <w:t>Qualitative information on governance risks a Integration of the efficiency of counterparties in corporate governance terms into the governance rules of the institution, including the committees of the top management body and the committees responsible for making decisions in economic, environmental and social matters The Association is geared to the core services of a bank focusing on Retail, SME and Real Estate business, loans, deposits and payment services.</w:t>
      </w:r>
    </w:p>
    <w:p w14:paraId="1004C336" w14:textId="77777777" w:rsidR="00CD09B7" w:rsidRDefault="00000000">
      <w:r>
        <w:t>The topics are selected considering the ecological and social impact of the sustainability topics identified, as well as their relevance to stakeholders.</w:t>
      </w:r>
    </w:p>
    <w:p w14:paraId="21C1B37A" w14:textId="77777777" w:rsidR="00CD09B7" w:rsidRDefault="00000000">
      <w:r>
        <w:t>Together with external sustainability experts, all sustainability aspects were assessed in terms of their potential and actual environmental and social impact in accordance with the ESRS.</w:t>
      </w:r>
    </w:p>
    <w:p w14:paraId="1F0F2664" w14:textId="77777777" w:rsidR="00CD09B7" w:rsidRDefault="00000000">
      <w:r>
        <w:t>Together with the assessment of sustainability aspects from the stakeholders perspective, the dual materiality analysis forms the basis for future reporting in accordance with the CSRD, which will be implemented from the 2024 financial year.</w:t>
      </w:r>
    </w:p>
    <w:p w14:paraId="2340805A" w14:textId="77777777" w:rsidR="00CD09B7" w:rsidRDefault="00000000">
      <w:r>
        <w:t>In operational terms, this requirement is implemented in the General Instruction on Compliance and in the corresponding working instruction of the Association.</w:t>
      </w:r>
    </w:p>
    <w:p w14:paraId="7C88D51B" w14:textId="77777777" w:rsidR="00CD09B7" w:rsidRDefault="00000000">
      <w:r>
        <w:t>Details on the RAF and the risk strategy are included in Chapter 2 Risk management and governance in the CRR Disclosure as at 31.</w:t>
      </w:r>
    </w:p>
    <w:p w14:paraId="286479E6" w14:textId="77777777" w:rsidR="00CD09B7" w:rsidRDefault="00000000">
      <w:r>
        <w:t>Transitory risks arise as a result of the adjustment process toward a lower-carbon and more environmentally sustainable economy.</w:t>
      </w:r>
    </w:p>
    <w:p w14:paraId="31A54798" w14:textId="77777777" w:rsidR="00CD09B7" w:rsidRDefault="00000000">
      <w:r>
        <w:lastRenderedPageBreak/>
        <w:t>Reporting in accordance with the recommendations of the Task Force on Climate- Related Financial Disclosures focuses on risks and opportunities arising from the consequences of climate change.</w:t>
      </w:r>
    </w:p>
    <w:p w14:paraId="2CB8604C" w14:textId="77777777" w:rsidR="00CD09B7" w:rsidRDefault="00000000">
      <w:r>
        <w:t>The 17 risk events included in the ESG heat map are derived from the United Nations Sustainable Development Goals SDGs.</w:t>
      </w:r>
    </w:p>
    <w:p w14:paraId="3853016D" w14:textId="77777777" w:rsidR="00CD09B7" w:rsidRDefault="00000000">
      <w:r>
        <w:t>For this purpose, climate and environmental influences noise, flooding, hazard zones, energy efficiency energy certificate, year of construction, year of refurbishment and the use of fossil fuels oil, gas are documented and incorporated into the assessment.</w:t>
      </w:r>
    </w:p>
    <w:p w14:paraId="636A86D1" w14:textId="77777777" w:rsidR="00CD09B7" w:rsidRDefault="00000000">
      <w:r>
        <w:t>If a real property is located within the sphere of any climate or environmental hazard, the assessment must indicate if this fact is relevant in terms of value and if a corresponding impairment must be recognised.</w:t>
      </w:r>
    </w:p>
    <w:p w14:paraId="371A7B03" w14:textId="1E580101" w:rsidR="00CD09B7" w:rsidRDefault="00000000">
      <w:r>
        <w:t xml:space="preserve">For instance, when checking the customers repayment ability, the way in which climate change </w:t>
      </w:r>
      <w:r w:rsidR="00C529DB">
        <w:t>t</w:t>
      </w:r>
      <w:r>
        <w:t>ransformation costs will impact on the customers business is critically analysed.</w:t>
      </w:r>
    </w:p>
    <w:p w14:paraId="0DEDFA95" w14:textId="77777777" w:rsidR="00CD09B7" w:rsidRDefault="00000000">
      <w:r>
        <w:t>For the purpose of identifying those sectors and economic activities that have a greater negative impact on the financed emissions of the Association of Volksbanks due to higher GHG emission intensities, a 2024 decarbonisation strategy was adopted that includes measurable goals.</w:t>
      </w:r>
    </w:p>
    <w:p w14:paraId="7DB2ED75" w14:textId="77777777" w:rsidR="00CD09B7" w:rsidRDefault="00000000">
      <w:r>
        <w:t>If the goal for the reduction of emissions is not reached, corresponding measures for new business in carbon-intensive sectors must be defined to counter that trend.</w:t>
      </w:r>
    </w:p>
    <w:p w14:paraId="544C9EB5" w14:textId="77777777" w:rsidR="00CD09B7" w:rsidRDefault="00000000">
      <w:r>
        <w:t>In renewable energies, in optimising supply chain and circular business management as well as in sustainable technologies and innovations will compensate or reduce the emission intensity of carbon-intensive sectors continuously.</w:t>
      </w:r>
    </w:p>
    <w:p w14:paraId="1A7173AD" w14:textId="77777777" w:rsidR="00CD09B7" w:rsidRDefault="00000000">
      <w:r>
        <w:t>To achieve the reduction of GHG emissions, various political and legal measures have been taken in Austria such as subsidies for renewable energy and sustainable means of transport, laws to increase energy efficiency, waiver of fossil fuels.</w:t>
      </w:r>
    </w:p>
    <w:p w14:paraId="0D6F793C" w14:textId="77777777" w:rsidR="00CD09B7" w:rsidRDefault="00000000">
      <w:r>
        <w:t>By improving the emission intensities in the real economy, the Association of Volksbanks expects to achieve a reduction of GHG emissions in the loan portfolio when credit liabilities in more carbon-intensive sectors are paid back with simultaneous credit growth in sectors with lower carbon emissions.</w:t>
      </w:r>
    </w:p>
    <w:p w14:paraId="088AADEB" w14:textId="77777777" w:rsidR="00CD09B7" w:rsidRDefault="00000000">
      <w:r>
        <w:t>Taking into account the effect from investments in the energy transition, a 2024 decarbonisation strategy with measurable goals was adopted for the Association of Volksbanks.</w:t>
      </w:r>
    </w:p>
    <w:p w14:paraId="4B3ECFE9" w14:textId="77777777" w:rsidR="00CD09B7" w:rsidRDefault="00000000">
      <w:r>
        <w:t>If the goal for the reduction of emissions is not reached, corresponding measures for new business in carbon-intensive sectors must be defined to counter that trend.</w:t>
      </w:r>
    </w:p>
    <w:p w14:paraId="43BAF8AF" w14:textId="77777777" w:rsidR="00CD09B7" w:rsidRDefault="00000000">
      <w:r>
        <w:lastRenderedPageBreak/>
        <w:t>The analyses show that the Association of Volksbanks can maintain all regulatory capital ratios and adequate liquidity levels even if potential ESG risks materialise, and that the resilience of the business model is not jeopardised over the simulated period due to ESG risks.</w:t>
      </w:r>
    </w:p>
    <w:p w14:paraId="0242077D" w14:textId="023CBAA3" w:rsidR="00CD09B7" w:rsidRDefault="00000000">
      <w:r>
        <w:t>Availability, quality and accuracy of the data and efforts to improve these aspects Data are an essential factor with a view to identifying, measuring, monitoring and managing ESG risks.</w:t>
      </w:r>
    </w:p>
    <w:p w14:paraId="3A25F458" w14:textId="77777777" w:rsidR="00CD09B7" w:rsidRDefault="00000000">
      <w:r>
        <w:t>A comprehensive gap analysis taking account of regulatory requirements, in particular the expectation of the ECB under the Guideline on Climate and Environmental Risks and the EBA Guideline Loan Origination and Monitoring has already been carried out as part of the sustainability project of the Association of Volksbanks, and measures to close the gaps identified were initiated or implemented, among others the implementation of ESG scoring, determination of energy certificates, extended documentation requirement for climate and environmental risks within the scope of real estate valuations.</w:t>
      </w:r>
    </w:p>
    <w:p w14:paraId="5D1B94B5" w14:textId="77777777" w:rsidR="00CD09B7" w:rsidRDefault="00000000">
      <w:r>
        <w:t>In order to achieve the strategic plans and ensure the requirements for ESG data, the Association of Volksbanks has set up an ESG data project to continue and expand the topics addressed by the sustainability project in particular for the lending portfolio.</w:t>
      </w:r>
    </w:p>
    <w:p w14:paraId="0624D234" w14:textId="77777777" w:rsidR="00CD09B7" w:rsidRDefault="00000000">
      <w:r>
        <w:t>This project ensures the comprehensive ESG data requirements for internal control and risk management as well as sustainability reporting and regulatory disclosure.</w:t>
      </w:r>
    </w:p>
    <w:p w14:paraId="4DA0BE53" w14:textId="77777777" w:rsidR="00CD09B7" w:rsidRDefault="00000000">
      <w:r>
        <w:t>The Association of Volksbanks aims to make its sustainability strategy measurable and controllable and to take account of major sustainability risks by using divisional goals, KPIs and KRIs.</w:t>
      </w:r>
    </w:p>
    <w:p w14:paraId="2AB26127" w14:textId="77777777" w:rsidR="00CD09B7" w:rsidRDefault="00000000">
      <w:r>
        <w:t>The following transmission channels were considered, for example, Profitability Real estate values Household incomes Performance of investments Cost of implementation of and compliance with regulatory requirements Legal costs The qualitative assessment based on the ESG heat maps has shown that existing risks due to ESG risks will not materially increase overall.</w:t>
      </w:r>
    </w:p>
    <w:p w14:paraId="1845D755" w14:textId="77777777" w:rsidR="00CD09B7" w:rsidRDefault="00000000">
      <w:r>
        <w:t>The long-term integration of ESG aspects into the business model of the Association of Volksbanks is managed via the sustainability strategy, which is part of the business strategy.</w:t>
      </w:r>
    </w:p>
    <w:p w14:paraId="4A629A44" w14:textId="77777777" w:rsidR="00CD09B7" w:rsidRDefault="00000000">
      <w:r>
        <w:t>Building on existing initiatives such as the United Nations SDGs, the Paris Agreement on Climate Change and the United Nations Global Compact, it sets out concrete plans and corresponding framework conditions in connection with products and services.</w:t>
      </w:r>
    </w:p>
    <w:p w14:paraId="43C4F9FF" w14:textId="77777777" w:rsidR="00CD09B7" w:rsidRDefault="00000000">
      <w:r>
        <w:t>Qualitative information on social risks h Definitions, methods and international standards that the framework for the management of social risks is based on Being an employer as well as a user and provider of products and services, VOLKSBANK WIEN AG is in a position to influence human rights, and the company proactively assumes this responsibility within the scope of its corporate duty of care.</w:t>
      </w:r>
    </w:p>
    <w:p w14:paraId="76B77690" w14:textId="77777777" w:rsidR="00CD09B7" w:rsidRDefault="00000000">
      <w:r>
        <w:lastRenderedPageBreak/>
        <w:t>By committing to the Ten Principles of the UNGC regarding human rights, labour, the environment and anti-corruption, the company emphasizes the importance of responsible governance and sustainability within the scope of its business model.</w:t>
      </w:r>
    </w:p>
    <w:p w14:paraId="774C64BA" w14:textId="77777777" w:rsidR="00CD09B7" w:rsidRDefault="00000000">
      <w:r>
        <w:t>The principles regarding human rights, in particular, Principle 1 and Principle 2 as well as the principles regarding labour Principle 3 to Principle 6 focus on the protection of human rights.</w:t>
      </w:r>
    </w:p>
    <w:sectPr w:rsidR="00CD09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557472930">
    <w:abstractNumId w:val="8"/>
  </w:num>
  <w:num w:numId="2" w16cid:durableId="299456358">
    <w:abstractNumId w:val="6"/>
  </w:num>
  <w:num w:numId="3" w16cid:durableId="244263080">
    <w:abstractNumId w:val="5"/>
  </w:num>
  <w:num w:numId="4" w16cid:durableId="555552234">
    <w:abstractNumId w:val="4"/>
  </w:num>
  <w:num w:numId="5" w16cid:durableId="932396998">
    <w:abstractNumId w:val="7"/>
  </w:num>
  <w:num w:numId="6" w16cid:durableId="237860151">
    <w:abstractNumId w:val="3"/>
  </w:num>
  <w:num w:numId="7" w16cid:durableId="218445450">
    <w:abstractNumId w:val="2"/>
  </w:num>
  <w:num w:numId="8" w16cid:durableId="173417928">
    <w:abstractNumId w:val="1"/>
  </w:num>
  <w:num w:numId="9" w16cid:durableId="426774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D01"/>
    <w:rsid w:val="0015074B"/>
    <w:rsid w:val="0029639D"/>
    <w:rsid w:val="00326F90"/>
    <w:rsid w:val="004F5755"/>
    <w:rsid w:val="00AA1D8D"/>
    <w:rsid w:val="00B20224"/>
    <w:rsid w:val="00B47730"/>
    <w:rsid w:val="00B82BBC"/>
    <w:rsid w:val="00C529DB"/>
    <w:rsid w:val="00CB0664"/>
    <w:rsid w:val="00CD09B7"/>
    <w:rsid w:val="00F322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8D6A9"/>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3109</Words>
  <Characters>17723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6</cp:revision>
  <dcterms:created xsi:type="dcterms:W3CDTF">2013-12-23T23:15:00Z</dcterms:created>
  <dcterms:modified xsi:type="dcterms:W3CDTF">2025-08-03T12:09:00Z</dcterms:modified>
  <cp:category/>
</cp:coreProperties>
</file>