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When defining our sustainability strategy, we opted to develop an approach that aligns with our nature as a Cooperative Banking Group and with the Sustainable Development Goals established by the United Nations 2030 Agenda.</w:t>
      </w:r>
    </w:p>
    <w:p>
      <w:r>
        <w:t>In addition to the growing attention to ESG issues that we are also seeing from our customers, there has been a strong regulatory push at European level that has led to an even more significant commitment on the part of the Group in integrating climate and environmental ESG risk issues into the way it does banking, communicates its results, and works to ensure compliance with the many evolving regulations in these areas.</w:t>
      </w:r>
    </w:p>
    <w:p>
      <w:r>
        <w:t>Among the concrete objectives for the benefit of the environment and sustainability, which concern members and customers, is the desire to offer credit solutions to assist businesses especially micro and small enterprises that operate in traditional sectors and form the Groups economic fabric of reference in the eco‑ logical and digital transition required to remain competitive on the market.</w:t>
      </w:r>
    </w:p>
    <w:p>
      <w:r>
        <w:t>In order to respond to Customers growing awareness around sustainability, our Product Companies are strongly committed to expanding their ESG offering.</w:t>
      </w:r>
    </w:p>
    <w:p>
      <w:r>
        <w:t>This document, published on an annual basis, has been prepared pursuant to Italian Legislative Decree 2542016 and in compliance with the Global Reporting Initiative Sustainability Reporting Standards GRI Standards, as updated in 2021 by the Global Reporting Initiative, according to the in accordance with option and considering the supplement GRI-G4- Financial Services Sector Disclosures for the financial and credit sector.</w:t>
      </w:r>
    </w:p>
    <w:p>
      <w:r>
        <w:t>In this regard, the Group began in December to map the disclosure requirements of the CSRD and the European Sustainability Standards in order to identify the information that the Group will have to include with reference to financial year 2024 and to define an action plan to ensure compliance with the new regulations.</w:t>
      </w:r>
    </w:p>
    <w:p>
      <w:r>
        <w:t>Created to promote local development, this system has always operated with a spirit of cooperation and solidarity in every Community with which it has come into contact.</w:t>
      </w:r>
    </w:p>
    <w:p>
      <w:r>
        <w:t>It has the aim of favouring its Partners and those of other companies belonging to the Cooperative Banking Group, by pursuing the development of local areas, the improvement of their moral, cultural and financial conditions and promoting the development of cooperation and education in savings and pension planning as well as social cohesion and the responsible and sustainable growth of the local areas in which the Banking Group operates.</w:t>
      </w:r>
    </w:p>
    <w:p>
      <w:r>
        <w:t>Promotion of the improvement in moral, cultural and economic conditions Promotion of education on welfare Promotion of the development of cooperation and education on savings Promotion of social cohesion Promotion of responsible, sustainable growth The Articles of Association furthermore affirm how each Affiliated Bank, by choice, stands out based on its own social orientation and decision to construct the common good.</w:t>
      </w:r>
    </w:p>
    <w:p>
      <w:r>
        <w:t>Ensuring that the Group's business is conducted in line with ethical principles of fairness and integrity, as well as guaranteeing compliance with codes of con‑ duct, regulations and laws, is a fundamental safeguard against the risks associated with unlawful conduct by internal personnel and the resulting impacts on the company's reputation.</w:t>
      </w:r>
    </w:p>
    <w:p>
      <w:r>
        <w:t>The set of guidelines defining the Groups operational conduct in accordance with the spirit of honesty, professionalism and transparency are also summarised in the Group's Anti-corruption Policy.</w:t>
      </w:r>
    </w:p>
    <w:p>
      <w:r>
        <w:t>As such, the Group adopts a prudential approach in managing conflicts of interest that may arise, among other things, from the presence of representatives of the Governance Bodies of the Subsidiary Banks in the Bodies of the Parent Company.</w:t>
      </w:r>
    </w:p>
    <w:p>
      <w:r>
        <w:t>The Regulation is designed to describe the procedures and organisational measures to manage situations of interest relevant to the Group's governance, including transactions pursuant to Art.</w:t>
      </w:r>
    </w:p>
    <w:p>
      <w:r>
        <w:t>These safeguards include the adoption of prudential limits on the assumption of risky assets with regard to related parties and connected parties, the adoption of specific decision-making procedures to support these prudential limits, as well as specific organisational structures and internal controls to define the responsibilities of Governance Bodies and the duties of Corporate Functions to prevent and manage conflicts of interest.</w:t>
      </w:r>
    </w:p>
    <w:p>
      <w:r>
        <w:t>The issue of preventing and combating corruption, understood as the degeneration of a conflict of interest, is covered in the Code of Ethics, which formalises the Groups commitment to avoiding acts of corruption, for example through unlawful payments made directly by top management andor Employees, or through parties acting on their behalf.</w:t>
      </w:r>
    </w:p>
    <w:p>
      <w:r>
        <w:t>Specifically, the Group is committed to strict compliance with money laundering and terrorist financing regulations, paying particular attention to transactions with entities based in countries with restricted assetsprivileged tax regimes or operating in controversial sectors and the related negative impacts, especially on the Group's image.</w:t>
      </w:r>
    </w:p>
    <w:p>
      <w:r>
        <w:t>As corruption is identified as one of the major obstacles to the Groups economic, political and social development in its operating context, so as to reinforce its commitment to preventing and combating corruption, in early 2019 Cassa Centrale Banca also formalised and adopted an Anti-Corruption Policy.</w:t>
      </w:r>
    </w:p>
    <w:p>
      <w:r>
        <w:t>It also governs dedicated periodic anti-corruption training obligations.</w:t>
      </w:r>
    </w:p>
    <w:p>
      <w:r>
        <w:t>No incidents of corruption were documented during the year 2023, whereas 2 whistleblowing reports were received concerning the performance of certain operating activities, which did not result in the need to resort to particularly serious measures.</w:t>
      </w:r>
    </w:p>
    <w:p>
      <w:r>
        <w:t>Aside from summarising the roles and responsibilities of the Parent Company, the Affiliated Banks and the Subsidiaries, the Regulation outlines the procedure established for handling reports of internal violations, and also defines additional oversight mechanisms to ensure the proper functioning of the Whistleblowing System with a view to internal training and to protecting the privacy of the Whistleblowers and Reported Partys personal data.</w:t>
      </w:r>
    </w:p>
    <w:p>
      <w:r>
        <w:t>In this context, the Board of Directors of Cassa Centrale Banca, with the support of the Risks and Sustainability Committee, is in charge, among other activities, of approving and updating, ■ the sustainability strategies and policies.</w:t>
      </w:r>
    </w:p>
    <w:p>
      <w:r>
        <w:t>Its commitment is also formalised in a dedicated policy Environmental Policy.</w:t>
      </w:r>
    </w:p>
    <w:p>
      <w:r>
        <w:t>In addition, the ESG Community of Practice was established in June 2023, within which the good ESG practices of the Affiliated Banks are shared and where guidance and supporting materials are distributed for the periodic conduct of the Banks Steering Committees.</w:t>
      </w:r>
    </w:p>
    <w:p>
      <w:r>
        <w:t>As regards ESG issues in particular, the Committee is also responsible for supporting the Board of Directors, with functions of investigation, proposal and consultation, in assessments and decisions relating to Sustainability and cooperative identity matters.</w:t>
      </w:r>
    </w:p>
    <w:p>
      <w:r>
        <w:t>In this context, the Risks and Sustainability Committee is tasked with providing support to the Board of Directors, ■ in defining the Group's values and identifying characteristics, also with a view to updating the Group Code of Ethics.</w:t>
      </w:r>
    </w:p>
    <w:p>
      <w:r>
        <w:t>Over the course of 2023, the Risks and Sustainability Committee acted as point of contact in incorporating and assessing any regulatory sustainabili‑ ty-related impacts, and as the body responsible for promoting the concept of cooperative identity.</w:t>
      </w:r>
    </w:p>
    <w:p>
      <w:r>
        <w:t>The information flows stipulate that for the Affiliated Banks and Subsidiaries, the minutes of the ESG Steering Committee are sent to the Parent Company, which notes the progress of sustainability initiatives in the individual territories.</w:t>
      </w:r>
    </w:p>
    <w:p>
      <w:r>
        <w:t>In turn, the Parent Companys ESG Steering Committee periodically reports to the Risks and Sustainability Committee and the Board of Directors on the monitoring of the Parent Companys Sustainability Plan and the progress of initiatives to achieve strategic ESG positioning targets.</w:t>
      </w:r>
    </w:p>
    <w:p>
      <w:r>
        <w:t>The ESG Steering Committee of the Parent Company met 3 times in 2023 to discuss and explore the development of the ESG Governance Project and the targets for the 2023-2026 Sustainability Plan.</w:t>
      </w:r>
    </w:p>
    <w:p>
      <w:r>
        <w:t>The evolution of the Sustainability Plan By defining tangible and measurable goals, the Group aims to contribute to the transition towards a more sustainable, social and environmental economy in all of the Communities and Regions in which it operates.</w:t>
      </w:r>
    </w:p>
    <w:p>
      <w:r>
        <w:t>By reconciling the Sustainability objectives with the material topics and contributing to the integration of the SDGs in the Groups operations and strategy, the Plan also makes it possible to lay the bases for a further improvement in non-financial reporting.</w:t>
      </w:r>
    </w:p>
    <w:p>
      <w:r>
        <w:t>During 2023, the Sustainability Plan was updated with the aim of, ■ establishing the Groups ESG ambitions, consistent with the Mission, Strategic Plan 23-26 and best practices.</w:t>
      </w:r>
    </w:p>
    <w:p>
      <w:r>
        <w:t>The Sustainability Plan 2023-2026, in addition to being structured in the 5 areas mentioned above, provides for specific Actions to which specific Targets are associated on an annual basis and for the three-year period of reference, the monitoring of which is an aspect of particular attention for all parties that make up the Groups ESG organisational framework.</w:t>
      </w:r>
    </w:p>
    <w:p>
      <w:r>
        <w:t>The distinction into Actions and Targets is also a relevant aspect in relation to the future, and upcoming, evolution of the Sustainability Plan in order to comply with the Corporate Sustainability Reporting Directive .</w:t>
      </w:r>
    </w:p>
    <w:p>
      <w:r>
        <w:t>Cassa Centrale Banca carries out the various phases of the self-assessment process in compliance with the reference regulatory provisions and the implemen‑ tation of the Groups planned strategic objectives.</w:t>
      </w:r>
    </w:p>
    <w:p>
      <w:r>
        <w:t>In particular, the Board of Directors believes it has carefully and diligently performed the role of governance and control of Cassa Centrale Banca, respecting the balance that it must maintain between being a significant entity and the Parent Company of the Affiliated Banks, whose strong sense of autonomy remains a key principle and founding value.</w:t>
      </w:r>
    </w:p>
    <w:p>
      <w:r>
        <w:t>The Directors assessments of the Boards functioning are almost unan‑ imously very high, even considering the measures on conducting meetings remotely.</w:t>
      </w:r>
    </w:p>
    <w:p>
      <w:r>
        <w:t>Also for the Board of Statutory Auditors, an overall positive assessment emerged as it consists of members with adequate and diversified skills, with intense and continuous collaboration.</w:t>
      </w:r>
    </w:p>
    <w:p>
      <w:r>
        <w:t>The fitness of the members of the Corporate Bodies is also confirmed by participation in training initiatives which allow them to consolidate and expand their skills and knowledge, as set forth in the tables below.</w:t>
      </w:r>
    </w:p>
    <w:p>
      <w:r>
        <w:t>This System consists of all the rules, functions, structures, resources, processes and procedures that aim to ensure, in compliance with sound and prudent manage‑ ment, the achievement of the following objectives, ■ verification of the implementation of company strategies and policies.</w:t>
      </w:r>
    </w:p>
    <w:p>
      <w:r>
        <w:t>Compliance Department Is responsible for, ■ taking a risk-based approach to managing the risk of non-compliance with regard to the entire business activity.</w:t>
      </w:r>
    </w:p>
    <w:p>
      <w:r>
        <w:t>Anti-Money Laundering Department Is responsible for, ■ adopting a risk-based approach in overseeing the management of the risks of money laundering and terrorist financing with regard to the companys activities by evaluating the adequacy of internal procedures intended to prevent the violation of applicable external standards laws and regulations and self-regulation e.</w:t>
      </w:r>
    </w:p>
    <w:p>
      <w:r>
        <w:t>Articles of Association and Codes of Ethics.</w:t>
      </w:r>
    </w:p>
    <w:p>
      <w:r>
        <w:t>The regulatory provisions for Banks in relation to the Cooperative Banking Group issued by the Bank of Italy establish that the corporate control Functions for affiliated Cooperative Credit Banks are carried out under an outsourcing regime by the Parent Company or other companies of the Group.</w:t>
      </w:r>
    </w:p>
    <w:p>
      <w:r>
        <w:t>In particular, ■ the Boards of Directors of the Affiliated Banks perform the strategic planning and organisational management roles in compliance with what is laid out by Cassa Centrale Banca in terms of risk strategies, policies, assessment principles and measurement.</w:t>
      </w:r>
    </w:p>
    <w:p>
      <w:r>
        <w:t>As part of the internal control system, they support the Company in the initiatives and corrective actions highlighted by the Corporate Control Functions and brought to the attention of the Corporate Bodies.</w:t>
      </w:r>
    </w:p>
    <w:p>
      <w:r>
        <w:t>This includes the provisions of the ECBs Supervisory Expectations on climate-related and environmental risks, which aim to ensure that climate and environ‑ mental risks are fully integrated into the Groups strategy, as well as into the overall risk management system, in order to mitigate and communicate them in accordance with the relevant regulatory requirements.</w:t>
      </w:r>
    </w:p>
    <w:p>
      <w:r>
        <w:t>Over the last three years, also in response to discussions with the Supervisory Authority, the Group has started a progressive process of self-assessment and alignment to the Supervisory Expectations on C&amp;E risks articulated in the following main stages, ■ in 2021 with the first self-assessment questionnaire with respect to the degree of alignment with the ECBs Supervisory Expectations on climate-relat‑ ed and environmental risks the ECB Guidelines and the related definition of an initial Action Plan aimed at enabling full alignment.</w:t>
      </w:r>
    </w:p>
    <w:p>
      <w:r>
        <w:t>As part of the ICAAP and ILAAP process, the Group already in 2021 identified a number of evolutionary areas required to respond to the changing needs of the business and regulatory environment related to the analysis of climate and environmental risks and the need to incorporate assessments related to the evolution of these risks and their impacts on the Groups business model and control framework.</w:t>
      </w:r>
    </w:p>
    <w:p>
      <w:r>
        <w:t>Similarly, within the Risk Appetite Framework , the process of gradually integrating climate and environmental risks was initiated with the provision of initial monitoring indicators, as an expression of the Groups adaptation process, in line with the Groups ICAAPILAAP Report.</w:t>
      </w:r>
    </w:p>
    <w:p>
      <w:r>
        <w:t>The stress test was structured around three modules aimed at assessing exposure to climate and environmental risks through, i.</w:t>
      </w:r>
    </w:p>
    <w:p>
      <w:r>
        <w:t>A qualitative questionnaire on the Stress Test Framework on climate and environmental risks covering 11 subject areas.</w:t>
      </w:r>
    </w:p>
    <w:p>
      <w:r>
        <w:t>This Plan consists of 21 initiatives over the 2023-2025 plan period divided into five macro areas materiality assessment, operating context and strategy, governance and risk appetite, risk management system, and credit risk, for each of which the intermediate and final phases and objectives are described.</w:t>
      </w:r>
    </w:p>
    <w:p>
      <w:r>
        <w:t>In general, with regard to C&amp;E risk monitoring, the Group provides for an articulate set of monitoring indicators within the Risk Appetite Statement con‑ sisting of, ■ the Concentration vs.</w:t>
      </w:r>
    </w:p>
    <w:p>
      <w:r>
        <w:t>Main CPRS indicator, which helps to monitor the concentration of the non-financial corporate portfolio with respect to CPRS Climate Policy Relevant Sectors.</w:t>
      </w:r>
    </w:p>
    <w:p>
      <w:r>
        <w:t>With regard to reporting, the Group has supplemented its quarterly risk reporting with a specific section on climate and environmental risks, both at consolidated and individual level, including through the integration of additional monitoring indicators in the Risk Appetite Statements , with the aim of ensuring regular and transparent reporting with precise, clear, concise and substantial information.</w:t>
      </w:r>
    </w:p>
    <w:p>
      <w:r>
        <w:t>This section will be the subject of further developments and refinements that will result in the creation of dedicated reporting aimed not only at monitoring risks, but also at analysing the main ESG factors and their impact on the various existing risk categories financial, operational, counterparty and related sub-categories, namely in order to, ■ highlight the impact of ESG factors on existing risks.</w:t>
      </w:r>
    </w:p>
    <w:p>
      <w:r>
        <w:t>As already mentioned, in accordance with the recent Strategic and Operational Climate and Environmental Risk Integration Plan approved by the Parent Companys Board of Directors in June 2023, the Group has launched a series of initiatives aimed at ensuring an adequate response to new business needs through the acquisition of a wealth of information on the ESG profiles of entrusted customers, as well as the consolidation of additional metrics for assessing, monitoring and reporting climate risks.</w:t>
      </w:r>
    </w:p>
    <w:p>
      <w:r>
        <w:t>In general, climate and environmental risks can mainly be divided into two specific categories, ■ transition risk, the risk of incurring financial losses, directly or indirectly, as a result of the transition to a low-carbon and more environmentally sus‑ tainable economy.</w:t>
      </w:r>
    </w:p>
    <w:p>
      <w:r>
        <w:t>In this context, the main initiatives are outlined below, ■ analysis of climate and environmental risk factor transmission channels on the Groups risk identification and assessment system.</w:t>
      </w:r>
    </w:p>
    <w:p>
      <w:r>
        <w:t>With regard to transition risk, by using the activities and experience gained through partici‑ pation in the 2022 ECB Climate Risk Stress Test, stress risk indicators under transition scenarios were developed.</w:t>
      </w:r>
    </w:p>
    <w:p>
      <w:r>
        <w:t>In this sense, taking into account the progressive refinement of the measurement tools in use, the Group has recently significantly strengthened its materiality assessment of climate and environmental risks, particularly with regard to their identification process in terms of sector and geographic coverage and transmis‑ sion channels, highlighting how climate and environmental risks simultaneously constitute risk factors of various existing risk categories and sub-categories and therefore integrating them within these categories in the Groups Risk Map.</w:t>
      </w:r>
    </w:p>
    <w:p>
      <w:r>
        <w:t>However, this period is heavily linked to the declared objectives of the European Parliaments Climate Policy, namely 7 years from the reference date i.</w:t>
      </w:r>
    </w:p>
    <w:p>
      <w:r>
        <w:t>Within the current Sustainability Plan, the Group has defined specific projects that include decarbonisation targets for Scope 1 and 2, and the quantification of Scope 3 emissions category 15, in preparation for defining the decarbonisation strategies of its portfolio.</w:t>
      </w:r>
    </w:p>
    <w:p>
      <w:r>
        <w:t>In general, the methodology for identifying climate and environmental risks integrates the methodological framework described in the Group Regulations on the Identification of Significant Risks, which remains the reference framework with all sub-processes defined therein for the recognition of significant risks, mapped out in the Group Risk Map.</w:t>
      </w:r>
    </w:p>
    <w:p>
      <w:r>
        <w:t>In order to take due account of the direct and indirect effect of climate and environmental risks on existing financial risks, the Group adopts the transmission channels approach.</w:t>
      </w:r>
    </w:p>
    <w:p>
      <w:r>
        <w:t>Industrial policy technology Development of technologies with low GHG emissions Ban on the use of environmentally harmful products Introduction of recycling policies 2.</w:t>
      </w:r>
    </w:p>
    <w:p>
      <w:r>
        <w:t>The Group therefore uses this method to understand the impact of climate and environmental shocks on risk parameters by line of business loans, deposits, asset management, bancassurance services, etc.</w:t>
      </w:r>
    </w:p>
    <w:p>
      <w:r>
        <w:t>Coordination between the Cassa Centrale Banca Tax Service and the Affiliated Banks is ensured on a day-to-day basis by the Internal contact representative for outsourced tax activities, appointed by the Board of Directors of each Affiliated Bank.</w:t>
      </w:r>
    </w:p>
    <w:p>
      <w:r>
        <w:t>Audits are conducted according to an annual audit plan and follow the procedures defined in the Group Compliance Guidelines.</w:t>
      </w:r>
    </w:p>
    <w:p>
      <w:r>
        <w:t>Tax risk management follows the risk assessment methodologies defined by the Compliance Function and is broken down into the following macro-processes, regulatory alignment, consulting and fiscal clearing, training in order to spread a corporate culture inspired by the principles of honesty, fairness and regulatory compliance, reporting, analysis on certainty of interpretation, impact assessment and materiality analysis.</w:t>
      </w:r>
    </w:p>
    <w:p>
      <w:r>
        <w:t>Starting with the as‑ signment of specific Corporate Social Responsibility responsibilities and roles to the External Relations and Sustainability Service, the Groups focus has evolved towards the definition of increasingly refined ESG governance solutions that represent an enabling factor for the Groups strategic development.</w:t>
      </w:r>
    </w:p>
    <w:p>
      <w:r>
        <w:t>This integration represents a significant step forward for the Group, both with a view to ensuring full accountability of the Parent Company Functions, Banks and Group Companies involved in the NFS drafting process, leveraging the relevance of disclosures in this area, and to guaranteeing a data quality-oriented approach, in line with the regulatory trends in this field.</w:t>
      </w:r>
    </w:p>
    <w:p>
      <w:r>
        <w:t>The process of updating the Sustainability Plan, in line with an evolutionary approach and strengthening its strategic role, saw new projects identified and previ‑ ous ones streamlined at the same time.</w:t>
      </w:r>
    </w:p>
    <w:p>
      <w:r>
        <w:t>Two new policies were also adopted by the Parent Company in December 2023, ■ Diversity, Equality and Inclusion Policy, created with the aim of concretely applying the main principles of the Group Diversity Policy and specifying guidelines and objectives, defining Cassa Centrale Bancas commitment.</w:t>
      </w:r>
    </w:p>
    <w:p>
      <w:r>
        <w:t>This activity is in line with the implementation of the Vendor Management process, including in connection with the Group Sustainability Plan.</w:t>
      </w:r>
    </w:p>
    <w:p>
      <w:r>
        <w:t>As far as the next activities related to this programme are concerned, these will be mainly aimed at, ■ activation of the ICT initiatives identified in relation to ESG sustainability.</w:t>
      </w:r>
    </w:p>
    <w:p>
      <w:r>
        <w:t>The UN Global Compact provides a political platform and a practical framework for companies committed to sustainability and responsible business practices.</w:t>
      </w:r>
    </w:p>
    <w:p>
      <w:r>
        <w:t>By adopting this framework, the Cassa Centrale Group is therefore able to access knowledge and experience on sustainability and sustainable development promoted by the United Nations, as well as acquire specific know-how on impactful issues.</w:t>
      </w:r>
    </w:p>
    <w:p>
      <w:r>
        <w:t>By joining the initiative, the Group also undertakes to meet its annual reporting obligation of informing its stakeholders of its progress in implementing the Ten Principles and supporting the broader UN Sustainable Development Goals through its Communication On Progress .</w:t>
      </w:r>
    </w:p>
    <w:p>
      <w:r>
        <w:t>The study led to the definition of Allitudes strategic vision of sustainability, in line with the Group's guidelines, and its implementation through actions and projects to support sustainable change for the Company.</w:t>
      </w:r>
    </w:p>
    <w:p>
      <w:r>
        <w:t>In particular, the Materiality Analysis was launched to identify sustainability issues, in order to prioritise the targets that impact the 2030 Agenda and to define the related action plan for the issues found to be most relevant.</w:t>
      </w:r>
    </w:p>
    <w:p>
      <w:r>
        <w:t>In addition, a communication plan dedicated to sustainability and aimed at the entire corporate population was launched, including a special section of the corporate communication platform Allitude Square and weekly topical newsletters.</w:t>
      </w:r>
    </w:p>
    <w:p>
      <w:r>
        <w:t>Among the initiatives envisaged in the Groups Sustainability Plan, several ICT projects with significant ESG impacts were launched.</w:t>
      </w:r>
    </w:p>
    <w:p>
      <w:r>
        <w:t>This initiative is an implementing element of a structured approach to sustainability issues, in the context of strategic and harmonious sustainability planning that takes into account the positive and negative ESG impact of business needs.</w:t>
      </w:r>
    </w:p>
    <w:p>
      <w:r>
        <w:t>The last section, on ESG objectives, defines Allitudes strategic sustainability objectives, consistent with the Sustainable Development Goals SDGs of the UN Agenda 2030 and the Groups sustainability strategy, regarding significant environmental aspects with specific reference to ICT.</w:t>
      </w:r>
    </w:p>
    <w:p>
      <w:r>
        <w:t>The ultimate purpose of this activity is to map the initiatives and policies adopted, to promote the mutual exchange of information within the Group on sustainability and interpretation of cooperative principles.</w:t>
      </w:r>
    </w:p>
    <w:p>
      <w:r>
        <w:t>The latter are broken down into respect for the environment, a focus on social topics and therefore the capacity to also proactively contribute to the achievement of the Sustainable Development Goals of the United Nations Agenda 2030.</w:t>
      </w:r>
    </w:p>
    <w:p>
      <w:r>
        <w:t>As far as the focus on social sustainability issues is concerned, the data collected allows us to look at the Groups various stakeholders.</w:t>
      </w:r>
    </w:p>
    <w:p>
      <w:r>
        <w:t>With regard to their Employees, some Affiliated Banks promote health and well-being programmes in the workplace specifically, 9 offer social health pro‑ grammes, 7 physical health programmes and others cover emotional and nutritional health and sometimes offer them services in addition to those provided for by contract, or by regulations, or already provided by the parent company, these are, for example, services for reconciling and harmonising personalwork life and supporting parenthood on which 23 and 8 Banks have worked respectively, or services for listening to needs implemented by 9 Banks.</w:t>
      </w:r>
    </w:p>
    <w:p>
      <w:r>
        <w:t>In 2023, twelve Affiliated Banks promoted specific initiatives targeted at young people, focusing on the development and support of youth entrepreneurship.</w:t>
      </w:r>
    </w:p>
    <w:p>
      <w:r>
        <w:t>To date, 39 Third-Sector Entities have been set up by the Groups Banks and the activities they promote mainly concern cultural, recreational, health and social areas.</w:t>
      </w:r>
    </w:p>
    <w:p>
      <w:r>
        <w:t>AIFIn AWARD 2024 Financial innovation Italian Awards Sustainability Category It is because of the tangible nature and validity of the project Good Practices Reading to Improve that the Cassa Centrale Group was awarded first place in the Sustainability category of the AIFIn Financial Innovation Italian Awards, an annual award that aims to promote the role of innovation in the banking, insurance and financial sector.</w:t>
      </w:r>
    </w:p>
    <w:p>
      <w:r>
        <w:t>Sharing responsible actions and behaviours by pooling good practices is therefore a tool that can provide insights and suggestions, creating a cyclical effort and further improving the quality of the social and environmental impact for the Communities and Territories where the Group is present.</w:t>
      </w:r>
    </w:p>
    <w:p>
      <w:r>
        <w:t>The Group has therefore adopted a proactive approach to the many stakeholders with which it interacts through different channels and tools, as illustrated in the following table.</w:t>
      </w:r>
    </w:p>
    <w:p>
      <w:r>
        <w:t>Italian Banking Association and its consortium members Association that promotes the dissemination of social values and principles of sound and correct banking business practices.</w:t>
      </w:r>
    </w:p>
    <w:p>
      <w:r>
        <w:t>It works by promoting and favouring the professional growth of financial operators through training, providing information on technical aspects and market practices.</w:t>
      </w:r>
    </w:p>
    <w:p>
      <w:r>
        <w:t>Assogestioni The association assists its members by offering advice and technical support on legal, tax and operational matters, promoting continuous dialogue with sector operators and institutions on the topics of investment, the protection of savings, corporate governance and regulatory and operational innovation in industry.</w:t>
      </w:r>
    </w:p>
    <w:p>
      <w:r>
        <w:t>The comments provided in support of the evaluations enabled the Parent Company to understand how stakeholders participate with great enthusiasm in determining material topics among other guidelines, the design of the sustainability strategy is based on their definition.</w:t>
      </w:r>
    </w:p>
    <w:p>
      <w:r>
        <w:t>Listening to customers Inclusion and diversity Transparency for customers Sustainability as a core value Cooperative DNA Valuing employees Health and safety New generations Support to the Community Proximity and attention to Members Presence on the territory Training Sustainable transport Digitisation Work-life balance Privacy In addition to the targeted stakeholder engagement in the timeframe of reference, the channel of listening to Shareholders and Customers on the portals of the Groups Banks remained active, even after the Materiality Analysis.</w:t>
      </w:r>
    </w:p>
    <w:p>
      <w:r>
        <w:t>The analysis was coordinated by the External Relations and Sustainability Service with support from an external specialist company, through a structured as‑ sessment process.</w:t>
      </w:r>
    </w:p>
    <w:p>
      <w:r>
        <w:t>This activity, in continuity with the previous year, was conducted considering as a main reference the current Reporting Standard GRI 3 Material Topics, which refers to the process through which the Group defines its material topics for the preparation of the financial statements, focusing the analysis on the impacts positive and negative, actual and potential related to the activities of the Cassa Centrale Group on the economy, people and the environment, including human rights.</w:t>
      </w:r>
    </w:p>
    <w:p>
      <w:r>
        <w:t>Phase 3, Assessment of significance of the impacts This phase aims to assess the significance of the impacts and involves direct engagement with the stakeholders identified as targets for stakeholder engagement actions.</w:t>
      </w:r>
    </w:p>
    <w:p>
      <w:r>
        <w:t>The impacts identified were assigned and evaluated by the stakeholders on the basis of the topics assessed as being of greatest interest to the category of reference also to increase the effectiveness of the evaluation.</w:t>
      </w:r>
    </w:p>
    <w:p>
      <w:r>
        <w:t>Also among the key topics for which there has been an increase in relevance since the previous Materiality Analysis exercise is Responsible credit policy and offer of productsservices for social and environmental purposes.</w:t>
      </w:r>
    </w:p>
    <w:p>
      <w:r>
        <w:t>The key topics also included Support for the communities and the Third Sector, given the involvement of the Third Sector in stakeholder engagement.</w:t>
      </w:r>
    </w:p>
    <w:p>
      <w:r>
        <w:t>In line with sustainability macro-trends which see an increasing stakeholder interest in environmental issues there is a significant increase in the relevance of the topic Management and reduction of environmental impact compared to the 2022 analysis.</w:t>
      </w:r>
    </w:p>
    <w:p>
      <w:r>
        <w:t>The most significant changes introduced by the European Sustainability Reporting Standards ESRS known as the EFRAG Standard, include the concept of Dual materiality, according to which the materiality analysis must be performed by including the Impact Materiality or inside out perspective, which provides information about the impact of an organisation's activity on sustainable development, and the Financial Materiality or outside in perspective, which represents how environmental, social and governance issues influence an organisation's development, performance, future cash flows and positioning.</w:t>
      </w:r>
    </w:p>
    <w:p>
      <w:r>
        <w:t>These include Talent attraction, development and retention, Corporate governance and decision making, Operations rooted in the regional area and Financial education initiatives.</w:t>
      </w:r>
    </w:p>
    <w:p>
      <w:r>
        <w:t>It does all of this while combining the value and independence of a local banking system, representing the different Local Areas, with the typical characteristics of a large Cooperative Banking Group, SOLIDARITY-MINDED with a network promoting the local economic and social fabric EFFICIENT which is one of the top Banking Groups in Italy by assets and capital strength COOPERATIVE with a system of mutual cooperative banks united by the same principles The Group places the common good at the centre of all its actions, striving to support People, businesses, territories and new generations.</w:t>
      </w:r>
    </w:p>
    <w:p>
      <w:r>
        <w:t>The link with the terri‑ tories in which the Parent Company and its Affiliated Banks operate is deep, long-lasting and natural, the Banks, born and bred in these Communities, descend from and represent those same People who inhabit them and for this reason are committed to the economic, social and cultural development of those same Communities.</w:t>
      </w:r>
    </w:p>
    <w:p>
      <w:r>
        <w:t>Through its financial support to local businesses and households, the Cassa Centrale Group contributes to economic development by creating jobs and increas‑ ing production and to the growth of Communities through the creation of economic opportunities.</w:t>
      </w:r>
    </w:p>
    <w:p>
      <w:r>
        <w:t>Conscious of the importance of pursuing sustainable development, the Cassa Centrale Group aims to ensure the transition towards economic, social and envi‑ ronmental sustainability in all of the communities and regions in which it operates.</w:t>
      </w:r>
    </w:p>
    <w:p>
      <w:r>
        <w:t>Consistent with this objective, in October 2021 the Parent Companys Board of Directors resolved to allocate a fund of EUR 1 billion to support companies in a position to access the measures of the National Recovery and Resilience Plan and provide support for the green and circular economy, as well as the ecological transition, through the provision of dedicated loans.</w:t>
      </w:r>
    </w:p>
    <w:p>
      <w:r>
        <w:t>The issues of financial inclusion and support for the productive fabric were even more relevant in the recent economic context of great uncertainty, in which the Cassa Centrale Group implemented a series of initiatives aimed at mitigating the economic and social crisis.</w:t>
      </w:r>
    </w:p>
    <w:p>
      <w:r>
        <w:t>Involving stakeholders in the provision of support to businesses, households and People is essential to guarantee the effectiveness and success of the actions implemented by the Cassa Centrale Group.</w:t>
      </w:r>
    </w:p>
    <w:p>
      <w:r>
        <w:t>For this reason, current regulations and the Guidelines developed by the European Central Bank for financial institutions Guide on climate-re‑ lated and environmental risks indicate that institutions should consider the possible adverse impact of climate events on their business continuity and have contingency plans in place to ensure the ability to operate on a continuous basis and to limit losses in the event of severe disruptions to operations.</w:t>
      </w:r>
    </w:p>
    <w:p>
      <w:r>
        <w:t>The e-money, digital banking and cybersecurity projects, the project to create a dedicated offer for Young People, as well as the various initiatives in the areas of Credit and Finance were continued.</w:t>
      </w:r>
    </w:p>
    <w:p>
      <w:r>
        <w:t>In continuity with the renewed design focus started in 2022 and thanks to the establishment of a dedicated evolution programme included in the 2023-26 Strategic Plan, in 2023 the Inbank app underwent a significant functional expan‑ sion with the development of 14 new functionalities in 3 main releases including, among others, device authorisation using biometrics, instant bank transfer and for tax deductions, intrabank fund transfer, CBILL payment with QR Code and man‑ agement of beneficiary contact list.</w:t>
      </w:r>
    </w:p>
    <w:p>
      <w:r>
        <w:t>The new videos will be added to those already created and shared by all the Banks on their website to promote financial training and education.</w:t>
      </w:r>
    </w:p>
    <w:p>
      <w:r>
        <w:t>The process was constantly supported with training activities.</w:t>
      </w:r>
    </w:p>
    <w:p>
      <w:r>
        <w:t>In light of this, with the aim of raising awareness and sensitising Customers to an informed and secure use of digital tools and channels, in 2023 the Cassa Centrale Group confirmed its support for the communication campaign on cybersecurity, promoted by CERTFin CERT Finanziario Italiano in collaboration with the Bank of Italy, ABI, IVASS, and the State Police, and sponsored by the Italian Data Protection Authority and the National Cybersecurity Agency.</w:t>
      </w:r>
    </w:p>
    <w:p>
      <w:r>
        <w:t>This year the focus of the campaign was on corporate Customers, with the aim of raising awareness among businesses of the importance of investing in systems security and in information for their Employees.</w:t>
      </w:r>
    </w:p>
    <w:p>
      <w:r>
        <w:t>The ethical nature of Mutual Credit Cooperative activities, ratified in the Articles of Association of the Affiliated Banks and the Parent Company, and recognised by legal and regulatory measures, is therefore characterised by proximity and by the relationship of trust with Partners and Customers, largely made up of small investors, individuals and small and medium enterprises eager to relate with and sensitive to the proximity of their bank.</w:t>
      </w:r>
    </w:p>
    <w:p>
      <w:r>
        <w:t>With reference to the material topic Responsible credit policy and offer of productsservices for social and environmental purposes, the aim is to ensure that banking is carried out from a sustainable and responsible perspective by promoting sustainable finance, financial education, transparency and responsibility.</w:t>
      </w:r>
    </w:p>
    <w:p>
      <w:r>
        <w:t>In defining its approach to sustainability, the Cassa Centrale Group is constantly committed to offering products and services with social and environmental purposes, paying particular attention to excluding controversial sectors.</w:t>
      </w:r>
    </w:p>
    <w:p>
      <w:r>
        <w:t>The credit strategy aims to ensure that the granting of loans at Group level is consistent with, ■ the cooperative role of the Group, enacted through the support of its Shareholders and the local Community, aimed at ensuring, □ responsible and sustainable growth of the territory, □ the adoption, when granting loans, of responsible conduct, fully adhering to the social role of the territorial Bank, centred around on the assess‑ ment of the prospective sustainability of debt, □ the systematic and proactive management of exposure to risk.</w:t>
      </w:r>
    </w:p>
    <w:p>
      <w:r>
        <w:t>In the responsible credit segment, the Groups commitment to support households and SMEs is confirmed in the inclusion of predominantly social products among its various credit instruments offered.</w:t>
      </w:r>
    </w:p>
    <w:p>
      <w:r>
        <w:t>Specifically, social financing is developed, assessed and intermediated by Cassa Centrale Banca through a number of channels, such as, ■ qualitative assessment of the initiative alongside the quantitative analysis.</w:t>
      </w:r>
    </w:p>
    <w:p>
      <w:r>
        <w:t>As resolved by the Parent Companys Board of Directors in 2023, the collection 18 of credit policies was also updated, which includes, among other things, the Group Regulations for the granting of loans, which was supplemented with a specific chapter on a qualitative assessment of the ESG aspects of the loan.</w:t>
      </w:r>
    </w:p>
    <w:p>
      <w:r>
        <w:t>In financial year 2023, the credit product Mutuo Privati MCD Green, a loan to support the energy efficiency of buildings for residential use, was also intro‑ duced.</w:t>
      </w:r>
    </w:p>
    <w:p>
      <w:r>
        <w:t>Furthermore, the offer from individual Affiliated Banks includes products designed to support the energy requalification of buildings or other investments, includ‑ ing small ones, that contribute in various ways to reducing emissions or to actions with a social purpose.</w:t>
      </w:r>
    </w:p>
    <w:p>
      <w:r>
        <w:t>By constantly involving stakeholders in the process to monitor and evaluate Responsible Lending Policies, the Group is able to identify opportunities for improve‑ ment and ensure that the Policies always align with stakeholders' needs and expectations.</w:t>
      </w:r>
    </w:p>
    <w:p>
      <w:r>
        <w:t>Moreover, this approach also serves to create sustainable and shared solutions and increase transparency and trust in the Group.</w:t>
      </w:r>
    </w:p>
    <w:p>
      <w:r>
        <w:t>The loans aimed at achieving energy efficiency or diversification of energy production or consumption targets such as those aimed at meeting energy demand using renewable sources, investing in energy efficiency measures that reduce energy consumption absorbed by economic production, investing to reduce or diversify natural gas consumption or to improve the resilience of business processes against exceptional price fluctuations on electricity markets, were able to benefit from the state guarantee under the Temporary Crisis Framework.</w:t>
      </w:r>
    </w:p>
    <w:p>
      <w:r>
        <w:t>Once again, in 2023, the Cassa Centrale Group offered products and services with environmental goals, consisting of green loans mainly structured as pooled transactions with the Affiliated Banks.</w:t>
      </w:r>
    </w:p>
    <w:p>
      <w:r>
        <w:t>In 2021, Cassa Centrale Banca and the Affiliated Banks adopted the Group Policy on Sustainability in the Financial Services Sector updated in March 2023, thus allowing for an adaptation to the new regulations on transparency for financial market participants and financial advisors see Regulation 20192088 Sustainable Finance Disclosure Regulation, SFDR, and Regulation 2020852 Taxonomy Regulation, TR.</w:t>
      </w:r>
    </w:p>
    <w:p>
      <w:r>
        <w:t>This Policy identifies and formalises the oversight mechanisms and measures aiming to, ■ integrate sustainability risks in decision-making processes relating to investments and consulting on investments or insurance.</w:t>
      </w:r>
    </w:p>
    <w:p>
      <w:r>
        <w:t>With the conviction that an adequate offering of products and services supports the effectiveness of investment proposals, the Cassa Centrale Group, through its subsidiary NEAM Nord Est Asset Management has set up a number of NEF investment funds consistent with the values of sustainable and responsible finance, whose investment decisions take the following criteria into account, Sustainability oversight Description Positive screening Investing mainly in assets selected on the basis of sustainability criteria.</w:t>
      </w:r>
    </w:p>
    <w:p>
      <w:r>
        <w:t>Sustainability encompasses environmental E and social S criteria, as well as good corporate management and governance G, such as, ■ the ability of the company to control its direct and indirect environmental impact by limiting its energy consumption, reduc‑ ing greenhouse gas emissions, combating resource use and protecting biodiversity.</w:t>
      </w:r>
    </w:p>
    <w:p>
      <w:r>
        <w:t>The main theme of the competition was environmental sustainability, the prizes offered were mostly environmentally sustainable and the reduction of paper use was also encouraged, reducing the environmental impact.</w:t>
      </w:r>
    </w:p>
    <w:p>
      <w:r>
        <w:t>Specifically, the mechanism adopted to integrate and assess the risks and main negative effects on sustainability factors are as follows, Sustainability oversight Description Positive screening Calls for a selection of investments on the basis of the assessments provided by info providers ESG ratings, issuers or producers of such instruments, in order to identify their environmental andor social characteristics or objectives.</w:t>
      </w:r>
    </w:p>
    <w:p>
      <w:r>
        <w:t>Alignment with SFDRTR The definition of strategic investment thresholds with environmental andor social characteristics makes it possible to classify the management lines as follows, ■ financial product pursuant to Art.</w:t>
      </w:r>
    </w:p>
    <w:p>
      <w:r>
        <w:t>The oversight mechanisms described have enabled Cassa Centrale Banca to classify the Management Lines as financial products which promote, inter alia, environmental or social characteristics or a combination of them light green financial products.</w:t>
      </w:r>
    </w:p>
    <w:p>
      <w:r>
        <w:t>The quality of service that generates customer satisfaction and loyalty can also have a positive impact on the Bank itself and on risk management on deposits and loans.</w:t>
      </w:r>
    </w:p>
    <w:p>
      <w:r>
        <w:t>Therefore, the Cooperative Credit Banks have always been focused on the development of the Territories in which they operate, placing professionalism, expertise and responsible behaviour at the basis of their relation‑ ship with Customers.</w:t>
      </w:r>
    </w:p>
    <w:p>
      <w:r>
        <w:t>Therefore, recognition by stakeholders of the Group's achievements thus far stems not only from elements such as the quality and price of the offered product or service, but also from less tangible elements such as the transparency of information, the speed and clarity in receiving information and compliance with the conditions of privacy necessary to guarantee efficient and respectful management of Customer relations and needs, as well as an under‑ standing of the socio-environmental qualities that characterise each micro-region.</w:t>
      </w:r>
    </w:p>
    <w:p>
      <w:r>
        <w:t>As a supplement to the aforementioned internal regulations, particularly in the context of Product Oversight Governance 26 for retail banking products, the Group adopted the Group Regulations pertaining to new products and subsequent documents on the Methodology for defining the target market, product testing and sales monitoring, which regulate the principles and processes for the approval and distribution of new products and services for retail Customers.</w:t>
      </w:r>
    </w:p>
    <w:p>
      <w:r>
        <w:t>The Regulation and the Methodologies are designed to ensure that the interests, objectives and characteristics of customers, the typical risks associated with the products that may penalise customers and possible conflicts of interest are taken into account in the development and offer stages and throughout the life cycle of the products themselves.</w:t>
      </w:r>
    </w:p>
    <w:p>
      <w:r>
        <w:t>See also the EBA Guidelines on Product Oversight and Governance, EBAGL201518 of 22 March 2016.</w:t>
      </w:r>
    </w:p>
    <w:p>
      <w:r>
        <w:t>Lastly, still on the subject of transparency of banking and financial products and services, the Group has adopted controls aimed at ensuring the effectiveness of product sales activities, the transparency of contractual conditions, and correctness of conduct, in order to continuously improve its action by ensuring timely intervention in its operating procedures.</w:t>
      </w:r>
    </w:p>
    <w:p>
      <w:r>
        <w:t>Transparency in investment services The Group adopts the Finance Regulation and Specific Policies, which, in compliance with the provisions of Directive 201465 MiFID II and its imple‑ menting regulations, formalise the rules of conduct that the Parent Company and the Affiliated Banks are required to follow when providing investment services to Customers.</w:t>
      </w:r>
    </w:p>
    <w:p>
      <w:r>
        <w:t>With regard to sustainability reporting to customers, the Parent Company and the Affiliated Banks adopt the Group Policy on sustainability in the financial ser‑ vices sector, as mentioned above.</w:t>
      </w:r>
    </w:p>
    <w:p>
      <w:r>
        <w:t>Among other things, the Policy governs the safeguards implemented at Group level and in accordance with the provisions of Regulation 20192088 in order to ensure that Clients using investment services are adequately informed about, ■ the integration of sustainability risks in investment decisions or in consulting on investments or insurance.</w:t>
      </w:r>
    </w:p>
    <w:p>
      <w:r>
        <w:t>In addition to technological innovation, Inbank also embraces environmental sustainability, the service has revolutionised the management of bank documents, allowing customers to receive them in electronic format, with considerable environmental benefits.</w:t>
      </w:r>
    </w:p>
    <w:p>
      <w:r>
        <w:t>In particular, stakeholder engagement is essential to ensuring the continuous improvement of the products and services offered, in fact, continuous and constructive dialogue with the Affiliated Banks, suppliers and subsidiaries enables the development of new projects and activities that can increasingly benefit both the Banks and their customers.</w:t>
      </w:r>
    </w:p>
    <w:p>
      <w:r>
        <w:t>The companys Quality Policy represents the guideline defined by Allitudes Management to promote the continuous improvement of company performance referring to the services provided and the reference context, as defined in strategic guidance documents, and to pursue the meeting of regulatory requirements as well as Customer needs.</w:t>
      </w:r>
    </w:p>
    <w:p>
      <w:r>
        <w:t>In order to monitor the ways in which personal data are processed within the Group and ensure compliance with the principles enshrined in the General Data Protection Regulation, the organisational structure of the data protection unit was also adapted by appointing a Data Protection Officer .</w:t>
      </w:r>
    </w:p>
    <w:p>
      <w:r>
        <w:t>To support the activities of the Parent Company's DPO, a special interdisciplinary team has been set up within the Data Protection Service which covers all aspects of Data Protection, from consulting to conducting compliance audits.</w:t>
      </w:r>
    </w:p>
    <w:p>
      <w:r>
        <w:t>In particular, the methodolo‑ gies for carrying out the data security risk analysis and for identifying the appropriate measures to respond to these risks are defined, and the adequacy and effectiveness of the organisational and technical measures adopted and to be adopted to ensure compliance with the provisions of the GDPR is verified, by collecting, storing and updating the relevant documentation.</w:t>
      </w:r>
    </w:p>
    <w:p>
      <w:r>
        <w:t>Within the internal regulations on complaint management adopted by Cassa Centrale Banca, the Affiliated Banks and the Subsidiaries, it is established that the Parent Companys Compliance Function has access at any time to the complaints register and all information and documents relating to the complaints received and the responses provided by the office responsible for handling complaints, analyses data on complaints and reports to the Company Bodies, at least in the final annual report, on the overall situation of complaints received, with the relative results.</w:t>
      </w:r>
    </w:p>
    <w:p>
      <w:r>
        <w:t>Furthermore, the Parent Company is required to submit a half-yearly consolidated report to its own Board of Directors to highlight any disputes involving the Group and their relative status, as well as a six-monthly report to the departments responsible for preparing the Company accounts.</w:t>
      </w:r>
    </w:p>
    <w:p>
      <w:r>
        <w:t>To demonstrate the commitment to these significant topics, the website features a section devoted to Sustainability where users can find the main results achieved and read about the related initiatives.</w:t>
      </w:r>
    </w:p>
    <w:p>
      <w:r>
        <w:t>In line with previous years, in order to increase stakeholder engagement and brand awareness, traditional communication channels were supported by a targeted omnichannel communication strategy aimed at both the physical network and the digital world.</w:t>
      </w:r>
    </w:p>
    <w:p>
      <w:r>
        <w:t>To support the Affiliated Banks, a graphic layout was prepared for their Consistency Statement, as was a concise leaflet aimed at highlighting their sustainability initiatives in a simple and user-friendly way for all stakeholders.</w:t>
      </w:r>
    </w:p>
    <w:p>
      <w:r>
        <w:t>We undertake to ensure that every single one of our branches is a pleasant, calm and harmonious place, where aesthetics meets ethics, contributing to the development of our cities and enhancing the archi‑ tectural and cultural heritage that characterises our country.</w:t>
      </w:r>
    </w:p>
    <w:p>
      <w:r>
        <w:t>Through its mix of products and services, Cassa Centrale Banca has represented a growth and development factor for the Affiliated Banks which, strengthened by their membership in a Cooperative Banking Group capable of competing in the market, can continue to support their Local Areas, the growth and devel‑ opment of local economies.</w:t>
      </w:r>
    </w:p>
    <w:p>
      <w:r>
        <w:t>Meetings are also periodically organised with the Directors, Statutory Auditors and General Managers of the Affiliated Banks in order to ensure continuous involvement in specific strategic projects that also concern the ESG sphere.</w:t>
      </w:r>
    </w:p>
    <w:p>
      <w:r>
        <w:t>Remaining on the topic of the Affiliated Banks, note the advisory function of the Directors Committee, the members of which act as a link with the reference Territories in order to share the decisions adopted on Group management, proactively collecting tips and proposed initiatives for the implementation of a shared strategy in the best interests of the Group and with respect for shared objectives.</w:t>
      </w:r>
    </w:p>
    <w:p>
      <w:r>
        <w:t>Based on these principles and the legislative provisions recognising them, cooperative credit banks lend primarily to their Partners, pursuing socially useful objectives.</w:t>
      </w:r>
    </w:p>
    <w:p>
      <w:r>
        <w:t>They indeed represent the raison detre and are the protagonists of the social action of Cooperatives, sharing their values and goals.</w:t>
      </w:r>
    </w:p>
    <w:p>
      <w:r>
        <w:t>Through donations and sponsorships, the Affiliated Banks support and promote charitable and solidarity, cultural and sports-related initiatives and finance study, research and Territory development activities.</w:t>
      </w:r>
    </w:p>
    <w:p>
      <w:r>
        <w:t>As part of the relationship with entities that request the joint participation of the Group in implementing projects and initiatives in favour of the Community, a preliminary feasibility analysis is carried out, assessing in the distribution of the projects the repercussions and well-being they will generate, with the aim of encouraging cohesion in the Local Areas, in a sustainability perspective.</w:t>
      </w:r>
    </w:p>
    <w:p>
      <w:r>
        <w:t>NEAM supports social projects In 2023, NEAM supported numerous organisations and initiatives for a total of EUR 150 thousand, including, ■ Modena University Hospital, supported through a contribution of EUR 60,000 to strengthen the outpatient service dedicated to patients suffering from epidermolysis bullosa, a group of rare diseases characterised by a mechanical and structural fragility of the skin.</w:t>
      </w:r>
    </w:p>
    <w:p>
      <w:r>
        <w:t>Meanwhile, in memory of Luigi Giuriato, a journalist who worked in Cassa Centrale Bancas communications department, two scholarships, also worth EUR 7,500 each, have been established to support two students in the Department of Sociology and Social Research, whose theses should focus on topics related to internal and external organisational communication in the financial and credit sector.</w:t>
      </w:r>
    </w:p>
    <w:p>
      <w:r>
        <w:t>This is why environmental protection is a founding element of the Groups strategy and corporate mission.</w:t>
      </w:r>
    </w:p>
    <w:p>
      <w:r>
        <w:t>Indeed, as established in the Code of Ethics, the Cassa Centrale Group is committed to adopting all measures necessary to reduce the environmental impact of its business activities.</w:t>
      </w:r>
    </w:p>
    <w:p>
      <w:r>
        <w:t>The following guidelines were identified for this purpose, ■ compliance with technical and legal provisions and regulations on environmental issues, based on the principle of risk prevention and mitigation, including those associated with climate change.</w:t>
      </w:r>
    </w:p>
    <w:p>
      <w:r>
        <w:t>The management and reduction of environmental impact requires a balanced, concrete and coherent approach to the different aspects that make up the per‑ formance of the activity in question, while seeking to minimise negative impacts and maximise positive ones.</w:t>
      </w:r>
    </w:p>
    <w:p>
      <w:r>
        <w:t>Implementing sustainable practices and reducing environmental impact can require significant investment.</w:t>
      </w:r>
    </w:p>
    <w:p>
      <w:r>
        <w:t>Though these initial costs may negatively affect shortterm profitability, the Cassa Centrale Group believes that the ecological transition should be stimulated so that the change can lead to a long-term reduction in the operating costs of the business structure, through the efficient management of resources and the prevention of risks associated with the environment and climate change.</w:t>
      </w:r>
    </w:p>
    <w:p>
      <w:r>
        <w:t>In particular, the Parent Company has implemented the following initiatives in recent years to reduce its energy consumption andor greenhouse gas emissions.</w:t>
      </w:r>
    </w:p>
    <w:p>
      <w:r>
        <w:t>For the calculation of scope 2 market based emissions for electricity, the factors published by AIB in 2021 European Residual Mixes 2020 were used for the reporting year 2021.</w:t>
      </w:r>
    </w:p>
    <w:p>
      <w:r>
        <w:t>The factors published by AIB in 2022 European Residual Mixes 2021 were used for the reporting year 2022.</w:t>
      </w:r>
    </w:p>
    <w:p>
      <w:r>
        <w:t>And the factors published by AIB in 2023 European Residual Mixes 2022 were used for reporting year 2023.</w:t>
      </w:r>
    </w:p>
    <w:p>
      <w:r>
        <w:t>This activity was also aimed at promoting energy efficiency measures to reduce and optimise consumption, which would then be reported annually to Enea Italian National Agency for New Technologies, Energy and Sustainable Economic Development.</w:t>
      </w:r>
    </w:p>
    <w:p>
      <w:r>
        <w:t>In addition to the certification of energy from renewable sources so-called green energy, the agreement also provides for a one-off bonus on electric transport infrastructure, which is an incentive for the use of facilities to reduce CO2 emissions.</w:t>
      </w:r>
    </w:p>
    <w:p>
      <w:r>
        <w:t>Initiatives for more sustainable mobility, ■ renewal of the long-term rental fleet, introducing engines that generate limited CO2 emissions, diesel vehicles with latest generation particulate filters and Euro 6 certifications.</w:t>
      </w:r>
    </w:p>
    <w:p>
      <w:r>
        <w:t>Additional initiatives, ■ installation in the meeting rooms of video-conferencing systems, to reduce travel by Employees as much as possible.</w:t>
      </w:r>
    </w:p>
    <w:p>
      <w:r>
        <w:t>At the Padua site, the renovation of existing air conditioning and heating systems is scheduled to start in 2024 to increase energy efficiency, while in Cuneo, a pair of cooling machines serving the air-conditioning system have been replaced.</w:t>
      </w:r>
    </w:p>
    <w:p>
      <w:r>
        <w:t>Through a memorandum of understanding between the Trentino Rural Banks, several Trentino cooperatives and the Dolomiti Energia Group, the Etika project is one of the initiatives with a positive social and environmental impact to which Cassa Centrale Banca contributes.</w:t>
      </w:r>
    </w:p>
    <w:p>
      <w:r>
        <w:t>Cassa Centrale Groups objectives for the near future as regards energy efficiency improvement and reducing atmospheric emissions in the offices include, ■ procurement of 100% of electricity from renewable sources certified in Italy by 2025.</w:t>
      </w:r>
    </w:p>
    <w:p>
      <w:r>
        <w:t>Decarbonisation project in the Groups Sustainability Plan The Groups sustainability journey, which began in 2021 with the first dedicated plan, includes the commitment to increase the supply from renewable sources certified in Italy exceeding 96% of total electricity consumption in 2023, and continued in 2023 with the definition of decarbonisation targets.</w:t>
      </w:r>
    </w:p>
    <w:p>
      <w:r>
        <w:t>The increase in emissions was mainly due to the increase in air travel, which included travel by participants of the Groups Convention in Lisbon in October.</w:t>
      </w:r>
    </w:p>
    <w:p>
      <w:r>
        <w:t>In this regard, the Oasi di Gruppo Cassa Centrale Credito Cooperativo Italiano were created, protected areas or oases that symbolise the Groups focus on the environment and biodiversity, where honey will be produced.</w:t>
      </w:r>
    </w:p>
    <w:p>
      <w:r>
        <w:t>Initiatives such as this one also show the Cassa Centrale Groups concrete commitment to the virtuous path of environmental and social sustainabili‑ ty, playing its part in achieving the Sustainable Development Goals of the Agenda 2030, in particular SDG 13 Climate action and SDG 15 Life on land, and contributing to the rebirth of a wounded Territory.</w:t>
      </w:r>
    </w:p>
    <w:p>
      <w:r>
        <w:t>These initiatives are accompanied by a series of projects already in place to support Communities and Territories on the path to the environmental transi‑ tion.</w:t>
      </w:r>
    </w:p>
    <w:p>
      <w:r>
        <w:t>In fact, the Group has long been promoting credit instruments to mitigate climate change and take measures to reduce emissions and promote energy efficiency.</w:t>
      </w:r>
    </w:p>
    <w:p>
      <w:r>
        <w:t>In addition to the above, the successful supplier would be obliged to provide by start-up an environmental and social sustainability programme describing the actions already in place andor planned for the period following the signing of the contract, with precise specification of the actions planned to reduce the CO2 emissions generated by its activity.</w:t>
      </w:r>
    </w:p>
    <w:p>
      <w:r>
        <w:t>In particular, economic activities are defined as environmentally sustainable if they contribute substantially to at least one of the following environmental objectives, provided that they do not cause significant harm to any of the other environmental objectives and that they are carried out in compliance with minimum safeguards, 1.</w:t>
      </w:r>
    </w:p>
    <w:p>
      <w:r>
        <w:t>It should also be noted that the rules of the Commission Delegated Regulation 20212139 Climate Delegated Act were followed when verifying compli‑ ance with the climate change mitigation and climate change adaptation objectives.</w:t>
      </w:r>
    </w:p>
    <w:p>
      <w:r>
        <w:t>In light of this regulatory framework, accompanied by the clarifications and interpretations on the implementation of the disclosure obligations published pro‑ gressively by the European Commission, as well as following the publication on 21 December 2023 of additional FAQs by the European Commission, the Cassa Centrale Group has analysed the provisions of these specific clarifications, defining the actions necessary to adhere to the latters indications on the basis of a best-effort approach, also in consideration of the time frames and data available.</w:t>
      </w:r>
    </w:p>
    <w:p>
      <w:r>
        <w:t>No reporting on eligibility against the four Taxonomy objectives Sustainable use and protection of water and marine resources, Transition to a circular economy, Pollution prevention and control, and Protection and restoration of biodiversity and ecosystems could be provided due to the unavailability of detailed information published by the counterparties.</w:t>
      </w:r>
    </w:p>
    <w:p>
      <w:r>
        <w:t>It should be noted that the exposures aligned to the climate change mitigation objective were identified by investigating the energy characteristics of the underlying guarantees in terms of energy class promptly remediated while verifying compliance with the criteria of sub‑ stantial contribution and the vulnerability of said guarantees to certain physical climate risks in order to verify compliance with the DNSH criteria i.</w:t>
      </w:r>
    </w:p>
    <w:p>
      <w:r>
        <w:t>Exposures guaranteed by residential buildings of APE class A or alternatively, that fall within the first 15% of the national housing stock, built before 31 December 2020, as collateral for mortgages that, based on the assessment of a physical risk engine, had an immaterial vulnerability rating against a set of relevant physical risk events.</w:t>
      </w:r>
    </w:p>
    <w:p>
      <w:r>
        <w:t>Renovation of existing buildings, nor was it possible to conduct an assessment of alignment with the EU Taxonomy, as not all the information needed to assess compliance with regulatory requirements was available in the Groups information systems.</w:t>
      </w:r>
    </w:p>
    <w:p>
      <w:r>
        <w:t>Far from being a mere slo‑ gan, this is a statement of solid fact, it is our employees who make our Group by devoting the expertise, motivation, passion and focus that characterises every aspect of our business.</w:t>
      </w:r>
    </w:p>
    <w:p>
      <w:r>
        <w:t>We strongly believe in the importance of growth on a personal and professional level, both as individuals and as members of a Community and we strive to support the economic, moral and social development of every single one of our people.</w:t>
      </w:r>
    </w:p>
    <w:p>
      <w:r>
        <w:t>Human resource management is based on directives and guidelines issued by the Governance Bodies, which are responsible for approving policies and regulations and are involved in significant decisions.</w:t>
      </w:r>
    </w:p>
    <w:p>
      <w:r>
        <w:t>The management of human resources is based on long-term plans, also in consideration of the gradual expansion of the Group and forecasts of further development.</w:t>
      </w:r>
    </w:p>
    <w:p>
      <w:r>
        <w:t>In line with the Code of Ethics, candidacy and Personnel selection are performed on the basis of corporate needs and the professional profiles sought, avoiding any discriminatory practices in the selection, recruitment, management and remuneration of Personnel.</w:t>
      </w:r>
    </w:p>
    <w:p>
      <w:r>
        <w:t>In 2023, 28% of Group Employees 3,334 were involved in performance and professional development appraisals based on criteria shared with the Employees The gender balance of men and women who received performance appraisals was fairly even.</w:t>
      </w:r>
    </w:p>
    <w:p>
      <w:r>
        <w:t>The All4ideas project continued, a programme designed to foster, develop and support internal employee projects, contributing to the development of internal skills and the growth and identification of talent.</w:t>
      </w:r>
    </w:p>
    <w:p>
      <w:r>
        <w:t>The Square 51 in the SAP SF platform was populated with projects, initiatives and news dedicated to all Employees, with a special focus on the topic of Sustainability.</w:t>
      </w:r>
    </w:p>
    <w:p>
      <w:r>
        <w:t>Alongside the SAP SF platform, a number of newsletters dedicated to the world of human resources and training were introduced, conveyed through new ways of accessing them and adapted to different needs.</w:t>
      </w:r>
    </w:p>
    <w:p>
      <w:r>
        <w:t>A great deal of space was given to projects concerning Employee well-be‑ ing, with pages dedicated to this topic.</w:t>
      </w:r>
    </w:p>
    <w:p>
      <w:r>
        <w:t>The SAM project, with the payoff employee providing a voice for employees, continues to support the structured listening process by making it more usable.</w:t>
      </w:r>
    </w:p>
    <w:p>
      <w:r>
        <w:t>Adequate training and development of Employees is essential to ensure that all People are able to perform their tasks effectively and address Customer needs competently.</w:t>
      </w:r>
    </w:p>
    <w:p>
      <w:r>
        <w:t>Employee development therefore continues to be one of the Groups main objectives and is achieved through, ■ Planning activities for the entire training cycle.</w:t>
      </w:r>
    </w:p>
    <w:p>
      <w:r>
        <w:t>In 2023, there was even more conviction about how important it is to have an up-to-date approach to training, transitioning from being training designers to learning experience designers, thinking about the overall growth of the individual and consequently of the organisation.</w:t>
      </w:r>
    </w:p>
    <w:p>
      <w:r>
        <w:t>The dynamism that characterises the proposed offer makes it possible to include new initiatives and projects on an ongoing basis, both to support the Banks in fulfilling new obligations and regulations, and to offer encouragement to Employees, accompanying the evolution of their careers and making them the protagonists of their own professional development.</w:t>
      </w:r>
    </w:p>
    <w:p>
      <w:r>
        <w:t>Further initiatives were organised in late 2023, with training proposals on anti-money laundering with the collaboration of ABI Formazione, Bancassurance also in collaboration with Assicura, Risk Management, with the submission of questionnaires for the introduction of the new rating system in 2024, as well as the development of training on the core contents of the specific projects of the Credit and Loans Department and the Finance Department.</w:t>
      </w:r>
    </w:p>
    <w:p>
      <w:r>
        <w:t>The training provided regarded the following areas, HIGH LEVEL TRAINING In the area of High Level Training, 2023 saw the conclusion of the Executive in Banking Management course, the Masters course carried out in partnership with SDA Bocconi, Banking and Insurance Department, designed and intended to consolidate and develop the skills of managers for the correct formulation of corporate strategies and policies in the context of the growing economic and environmental complexity in which the Groups Banks operate.</w:t>
      </w:r>
    </w:p>
    <w:p>
      <w:r>
        <w:t>In the area of Sustainability, the in-person course that characterised 2023 was Become an ESG Expert in the Cassa Centrale Group in cooperation with ABI Formazione, which was aimed at training the Groups new ESG Representatives, through a course to accompany the acquisition of basic knowledge and skills in the management of ESG issues within the Bank.</w:t>
      </w:r>
    </w:p>
    <w:p>
      <w:r>
        <w:t>The training focused on developing theoretical concepts linked to unconscious bias, but also provided participants with the practical and innovative tools needed to make a concrete contribution to the achievement of the Group's goals in this area.</w:t>
      </w:r>
    </w:p>
    <w:p>
      <w:r>
        <w:t>In par‑ ticular, the focus of 2023 was on inclusive language through seminars and workshops, which led to the promotion of an Inclusive Language Manifesto, which resulted in practical guidelines for the dissemination of virtuous conduct in everyday life within the Groups Banks in order to promote inclusion and equality.</w:t>
      </w:r>
    </w:p>
    <w:p>
      <w:r>
        <w:t>To collect feedback on participants level of satisfaction with the training initiatives, in 2023 ad hoc questionnaires were distributed at the end of each activity.</w:t>
      </w:r>
    </w:p>
    <w:p>
      <w:r>
        <w:t>The processing of the data meant that certain programmes could be revised if necessary, collecting useful suggestions on how to improve the range of training offered, while courses proven to be effective could be consolidated.</w:t>
      </w:r>
    </w:p>
    <w:p>
      <w:r>
        <w:t>Furthermore, the constant dialogue with the Training Representatives of the Affiliated Banks, including through the Community of Practice, enables the achievement of the proposed training goals and the effectiveness of training activities to be contin‑ uously monitored.</w:t>
      </w:r>
    </w:p>
    <w:p>
      <w:r>
        <w:t>During 2023, training initiatives focused on technical and specialist courses 78%, followed by managerial training 8% and health and safety training 4%.</w:t>
      </w:r>
    </w:p>
    <w:p>
      <w:r>
        <w:t>In order to enhance the potential of its Employees, the Company also continued its internal management training initiative called Prestipay Academy.</w:t>
      </w:r>
    </w:p>
    <w:p>
      <w:r>
        <w:t>The Diversity Policy is founded on the pursuit of principles of legality, morality, professionalism, dignity and equality, promotion of diversity and equal op‑ portunities consistent with its business objectives.</w:t>
      </w:r>
    </w:p>
    <w:p>
      <w:r>
        <w:t>These principles are implemented through the avoidance of discriminatory practices, the guarantee of equal opportunities, the promotion of inclusion, and the respect for a healthy work-life balance.</w:t>
      </w:r>
    </w:p>
    <w:p>
      <w:r>
        <w:t>With a Board of Directors resolution on 14 December 2023, the Parent Company also approved the new Diversity, Equity and Inclusion Policy, which, incor‑ porating the core principles of the Group Diversity Policy, specifies the principles, objectives and guidelines that define Cassa Centrale Bancas commitment.</w:t>
      </w:r>
    </w:p>
    <w:p>
      <w:r>
        <w:t>In the same resolution, the Parent Company issued the Policy in support of active parenthood, in order to support employees who are also parents encom‑ passing all forms of parenthood, in reconciling their private and work lives and achieving their personal and professional goals, with a view to promoting an environment that is mindful of equal opportunities and of closing the gender gap within families.</w:t>
      </w:r>
    </w:p>
    <w:p>
      <w:r>
        <w:t>Having set itself the objective of being a forerunner in the implementation of actions and strategies capable of leading the company to certification, Cassa Centrale Banca has worked hard to achieve this important recognition, the aim of which is to focus on a working model centred around inclusiveness, thanks to the possibility of measuring and enhancing the companys degree of gender equality, while also strengthening the companys image and reputation through the development of greater creative and innovation capacity, greater appeal to investors and the ability to produce greater economic value.</w:t>
      </w:r>
    </w:p>
    <w:p>
      <w:r>
        <w:t>By obtaining the certification, Cassa Centrale Banca sets itself up as a model for its Subsidiaries and Affiliated Banks, committing itself to promoting its best practices within the Group through concrete and continuous training and awareness actions on gender equality and female empowerment at every level of the Organisation.</w:t>
      </w:r>
    </w:p>
    <w:p>
      <w:r>
        <w:t>The choice of a holistic approach to the gender issue has generated several initiatives and actions, with commitment and creativity, aware that the topic requires diverse and integrated ways to achieve the ambitious goal of gender equality.</w:t>
      </w:r>
    </w:p>
    <w:p>
      <w:r>
        <w:t>According to the provisions contained in the Reference Practices of UNI PDR 125, 2022, Cassa Centrale Banca aims to enhance and protect diversity and equal opportunities in the workplace, setting up a management model that guarantees the maintenance over time of the requirements defined and implemented, measuring the progress of results through compliance with specific KPIs set by the certification.</w:t>
      </w:r>
    </w:p>
    <w:p>
      <w:r>
        <w:t>Remuneration policies The aim of the Remuneration Policies is to implement remuneration systems that are consistent with the Group's values and the shared aims of the Affiliated Banks to support the interest of all Stakeholders.</w:t>
      </w:r>
    </w:p>
    <w:p>
      <w:r>
        <w:t>To this end, the Group constantly monitors any observations raised by the Affiliated Banks during the process to define and manage the Remuneration Policy through direct contact, training initiatives and surveys.</w:t>
      </w:r>
    </w:p>
    <w:p>
      <w:r>
        <w:t>The Remuneration Policies support the Group's long-term strategy and the achievement of its corporate objectives, including sustainable finance, taking ESG factors into account.</w:t>
      </w:r>
    </w:p>
    <w:p>
      <w:r>
        <w:t>They are defined in accordance with the Group's prudent risk management Policies, including strategies for monitoring and managing im‑ paired loans, as defined under the current provisions on the prudential control process, in order to prevent undue incentives that may lead to regulatory breaches or excessive risk-taking for the Group Banks and the financial system as a whole.</w:t>
      </w:r>
    </w:p>
    <w:p>
      <w:r>
        <w:t>The fixed component is based on the contractual situation, the role held, the responsibilities assigned, and the specific experience and expertise of the Employee, while the variable component is performance based and linked to the results actually achieved and the risks prudently assumed.</w:t>
      </w:r>
    </w:p>
    <w:p>
      <w:r>
        <w:t>These kinds of bonuses may be paid no earlier than the end of the period of time or the occurrence of the event and, although not linked to performance targets, constitute forms of variable remuneration and as such are subject to the rules applicable to them, including those regarding the limit to the variablefixed ratio and on ex ante and ex post correction mechanisms.</w:t>
      </w:r>
    </w:p>
    <w:p>
      <w:r>
        <w:t>Retention bonuses may not be used to compensate Employees from the reduction or elimination of their variable remuneration resulting from ex ante and ex post correction mech‑ anisms, nor may they lead to a situation where the total variable remuneration is no longer linked to the performance of the individual, the individual business unit, as well as the Bank and the group, if applicable.</w:t>
      </w:r>
    </w:p>
    <w:p>
      <w:r>
        <w:t>The remuneration policies also reflect the commitment to promote sustainable performance through the inclusion of ESG indicators in the MBO incentives scheme offered to Senior Personnel.</w:t>
      </w:r>
    </w:p>
    <w:p>
      <w:r>
        <w:t>In addition, the agreements that formed the first Supplementary Agreement of the Cassa Centrale Group approved on 1 December 2023 were signed in 2023, mainly incorporating protections in the areas of, ■ training, professional development and appraisal of Personnel, new professional profiles for new activities and new organisational struc‑ tures and related category, regulation of the Corporate Productivity Value.</w:t>
      </w:r>
    </w:p>
    <w:p>
      <w:r>
        <w:t>With reference to the benefits recognised to Employees, the framework is varied and complex.</w:t>
      </w:r>
    </w:p>
    <w:p>
      <w:r>
        <w:t>During the negotiations with trade unions, welfare measures aimed at supporting Employees' families were discussed and forms of harmonisation of collective bargaining and pension and insurance instruments were sought.</w:t>
      </w:r>
    </w:p>
    <w:p>
      <w:r>
        <w:t>Lastly, more recently, Allitude joined the Groups drive to improve listening to its employees by means of company surveys on their needs, also including an analysis of elements related to work performance and corporate climate in order to identify elements functional to its improvement.</w:t>
      </w:r>
    </w:p>
    <w:p>
      <w:r>
        <w:t>Oversight over Health and Safety for Cassa Centrale is the responsibility of the Workplace Prevention and Protection Office, which has the duty of supporting the Safety, Prevention and Protection Manager the RSPP and the other individuals identified in Italian Legislative Decree 812008, in order to guarantee effective and integrated management of risk oversight mechanisms in occupational health and safety.</w:t>
      </w:r>
    </w:p>
    <w:p>
      <w:r>
        <w:t>In parallel, Cassa Centrale Banca fostered constant interaction between all company functions or areas involved in initiatives linked to occupational health and safety, from training up to physical property management.</w:t>
      </w:r>
    </w:p>
    <w:p>
      <w:r>
        <w:t>Over the course of 2023, the partnership with a specialised supplier continued, aimed at encouraging the adoption of healthier lifestyles including through greater focus on the practices adopted while in the office, courses were organised to provide employees with some useful tips on how to improve posture at computer workstations and, more generally, on how to adopt small daily habits that can improve their physical well-being.</w:t>
      </w:r>
    </w:p>
    <w:p>
      <w:r>
        <w:t>Employee and emergency management staff training courses were also provided in collaboration with the responsible Offices primarily the Human Resources Department and the Parent Company's Technical Logistics Office.</w:t>
      </w:r>
    </w:p>
    <w:p>
      <w:r>
        <w:t>Each Employee is required to pay maximum attention when carrying out their duties, strictly complying with all safety and prevention measures established in order to avoid every possible risk to themselves or colleagues.</w:t>
      </w:r>
    </w:p>
    <w:p>
      <w:r>
        <w:t>Thus, excluding suppliers of mere intellectual services, based on the various usage conditions, a supplier selection approach is applied which evaluates their compliance with occupational Health and Safety requirements presence of the Risk Assessment Document, employee training, etc.</w:t>
      </w:r>
    </w:p>
    <w:p>
      <w:r>
        <w:t>Focus on health and safety at Allitude At Allitude, the commitment to occupational health and safety is combined with the activities of the Quality Management System ISO 9001 and is analysed and verified to maintain and renew the ISO 9001 certification.</w:t>
      </w:r>
    </w:p>
    <w:p>
      <w:r>
        <w:t>Allitude has adopted the Policy for the adoption of an Occupational Health and Safety Management System which aims to inform workers of the following information according to a OHSMS communication plan, ■ evaluating emergency simulations.</w:t>
      </w:r>
    </w:p>
    <w:p>
      <w:r>
        <w:t>For the calculation of scope 2 market based emissions for electricity, the factors published by AIB in 2021 European Residual Mixes 2020 were used for the reporting year 2021.</w:t>
      </w:r>
    </w:p>
    <w:p>
      <w:r>
        <w:t>The factors published by AIB in 2022 European Residual Mixes 2021 were used for the reporting year 2022.</w:t>
      </w:r>
    </w:p>
    <w:p>
      <w:r>
        <w:t>And the factors published by AIB in 2023 European Residual Mixes 2022 were used for reporting year 2023.</w:t>
      </w:r>
    </w:p>
    <w:p>
      <w:r>
        <w:t>Responsibility of the Directors and the Board of Statutory Auditors for the NFS The Directors are responsible for the preparation of the NFS in accordance with articles 3 and 4 of the Decree and to the Global Reporting Initiative Sustainability Reporting Standards established by GRI Global Reporting Initiative GRI Standards, which they have identified as reporting framework.</w:t>
      </w:r>
    </w:p>
    <w:p>
      <w:r>
        <w:t>The Directors are also responsible, within the terms established by law, for such internal control as they determine is necessary to enable the preparation of NFS that is free from material misstatement, whether due to fraud or error.</w:t>
      </w:r>
    </w:p>
    <w:p>
      <w:r>
        <w:t>The Directors are moreover responsible for defining the contents of the NFS, within the topics specified in article 3, paragraph 1, of the Decree, taking into account the activities and characteristics of the Group, and to the extent necessary in order to ensure the understanding of the Groups activities, its trends, performance and the related impacts.</w:t>
      </w:r>
    </w:p>
    <w:p>
      <w:r>
        <w:t>Finally, the Directors are responsible for defining the business management model and the organisation of the Groups activities as well as, with reference to the topics detected and reported in the NFS, for the policies pursued by the Group and for identifying and managing the risks generated or undertaken by the Group.</w:t>
      </w:r>
    </w:p>
    <w:p>
      <w:r>
        <w:t>During the year covered by this assurance engagement, our auditing firm applied International Standard on Quality Control 1 ISQC Italia 1 and, accordingly, maintained a comprehensive system of quality control including documented policies and procedures regarding compliance with ethical requirements, professional standards and applicable legal and regulatory requirements.</w:t>
      </w:r>
    </w:p>
    <w:p>
      <w:r>
        <w:t>Auditors responsibility Our responsibility is to express our conclusion based on the procedures performed about the compliance of the NFS with the Decree and the GRI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