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FA029" w14:textId="77777777" w:rsidR="00CA518A" w:rsidRDefault="00000000">
      <w:r>
        <w:t>The improvement in net result is the result of higher investment results there having been a significant negative market value development on shares in 2022 and increased net income from commission and fees connected with the branch 23 contracts, partly offset by a lower insurance result.</w:t>
      </w:r>
    </w:p>
    <w:p w14:paraId="45B77BBB" w14:textId="77777777" w:rsidR="00CA518A" w:rsidRDefault="00000000">
      <w:r>
        <w:t>Our sustainability ambitions, set out in the Sustainability Charter, are the foundation of our sustainability policy.</w:t>
      </w:r>
    </w:p>
    <w:p w14:paraId="2B127F44" w14:textId="77777777" w:rsidR="00CA518A" w:rsidRDefault="00000000">
      <w:r>
        <w:t>The sustainability policy is laid down by the Executive Committee and approved by the Board of Directors.</w:t>
      </w:r>
    </w:p>
    <w:p w14:paraId="7FA90E5E" w14:textId="77777777" w:rsidR="00CA518A" w:rsidRDefault="00000000">
      <w:r>
        <w:t>The CSO has the support within the Marketing &amp; Sustainability department of the sustainability manager, who shares responsibility for implementing the policy and the sustainability plan across the different departments.</w:t>
      </w:r>
    </w:p>
    <w:p w14:paraId="139934F8" w14:textId="77777777" w:rsidR="00CA518A" w:rsidRDefault="00000000">
      <w:r>
        <w:t>The Company aims to manage brand, climate and sustainability risks appropriately and proactively within the associated risks and activities with a view to achieving the business objectives of the various business lines responsibly, in accordance with the Companys sustainability policy and corporate purpose.</w:t>
      </w:r>
    </w:p>
    <w:p w14:paraId="7791DB7E" w14:textId="77777777" w:rsidR="00CA518A" w:rsidRDefault="00000000">
      <w:r>
        <w:t>Brand and sustainability risk is defined as the possible negative impact as a direct or indirect consequence of how the Company positions itself reputationally as a brand with the emphasis on simple and close by and in relation to sustainability, the activities it carries out for this purpose and how the steps it takes to implement the strategy are perceived.</w:t>
      </w:r>
    </w:p>
    <w:p w14:paraId="319E62F7" w14:textId="77777777" w:rsidR="00CA518A" w:rsidRDefault="00000000">
      <w:r>
        <w:t>Climate and sustainability risk is defined as the possible negative impact of ecological E, social S and governance G aspects on the financial performance e.</w:t>
      </w:r>
    </w:p>
    <w:p w14:paraId="244770AE" w14:textId="77777777" w:rsidR="00CA518A" w:rsidRDefault="00000000">
      <w:r>
        <w:t>Value, liquidity of assets and liabilities.</w:t>
      </w:r>
    </w:p>
    <w:p w14:paraId="63BA799B" w14:textId="77777777" w:rsidR="00CA518A" w:rsidRDefault="00000000">
      <w:r>
        <w:t>To align the strategy with the climate challenges, all the relevant climate risks and opportunities must be assessed in order to understand the impact on the Companys business model in general and within the different operating activities.</w:t>
      </w:r>
    </w:p>
    <w:p w14:paraId="03D82A92" w14:textId="77777777" w:rsidR="00CA518A" w:rsidRDefault="00000000">
      <w:r>
        <w:t>Apart from climate-related impact E, the materiality of social and governance risks was also included in the exercise.</w:t>
      </w:r>
    </w:p>
    <w:p w14:paraId="16E5CECD" w14:textId="77777777" w:rsidR="00CA518A" w:rsidRDefault="00000000">
      <w:r>
        <w:t>The bank achieved a generally good score with its climate stress test framework being qualified as intermediate advanced.</w:t>
      </w:r>
    </w:p>
    <w:p w14:paraId="093B44F3" w14:textId="77777777" w:rsidR="00CA518A" w:rsidRDefault="00000000">
      <w:r>
        <w:t>Both the internal and the regulatory stress tests reveal a limited impact of unfavourable climate risk scenarios on the financial performance of the Company.</w:t>
      </w:r>
    </w:p>
    <w:p w14:paraId="41D0D3C7" w14:textId="77777777" w:rsidR="00CA518A" w:rsidRDefault="00000000">
      <w:r>
        <w:t>In past years the Company rolled out a climate action plan as a result of the publication of the ECB climate and environmental risk guidelines.</w:t>
      </w:r>
    </w:p>
    <w:p w14:paraId="0359474C" w14:textId="77777777" w:rsidR="00CA518A" w:rsidRDefault="00000000">
      <w:r>
        <w:t>An important milestone was reached with the approval by the Board of Directors of the climate and climate-related risk policy, which therefore had Group-wide effect.</w:t>
      </w:r>
    </w:p>
    <w:p w14:paraId="1310E576" w14:textId="77777777" w:rsidR="00CA518A" w:rsidRDefault="00000000">
      <w:r>
        <w:lastRenderedPageBreak/>
        <w:t>The policy translates the strategic objectives, legislation and regulations on climate and sustainability risks into a policy framework that controls the daily operation of the business activities.</w:t>
      </w:r>
    </w:p>
    <w:p w14:paraId="0A3F91D9" w14:textId="77777777" w:rsidR="00CA518A" w:rsidRDefault="00000000">
      <w:r>
        <w:t>Progress was also made as part of the climate plan regarding the development and identification of decarbonisation pathways, or target processes, to reduce the financed emissions of our loans to private individuals systematically by 2050.</w:t>
      </w:r>
    </w:p>
    <w:p w14:paraId="43CAEB3A" w14:textId="77777777" w:rsidR="00CA518A" w:rsidRDefault="00000000">
      <w:r>
        <w:t>These climate risk indicators are defined in the relevant policy documents, discussed by the responsible committees and reported on dashboards, including the quarterly RAF dashboard to the Boards Risk Committee.</w:t>
      </w:r>
    </w:p>
    <w:p w14:paraId="5AAEEF27" w14:textId="77777777" w:rsidR="00CA518A" w:rsidRDefault="00000000">
      <w:r>
        <w:t>In 2024 the climate risk monitoring dashboard will be further extended in the area of metrics on the physical climate risk, with a focus on identifying the flood risk.</w:t>
      </w:r>
    </w:p>
    <w:p w14:paraId="04199844" w14:textId="77777777" w:rsidR="00CA518A" w:rsidRDefault="00000000">
      <w:r>
        <w:t>The Company has therefore made significant steps to give its strategy greater direction in the area of sustainability.</w:t>
      </w:r>
    </w:p>
    <w:p w14:paraId="64F32E29" w14:textId="77777777" w:rsidR="00CA518A" w:rsidRDefault="00000000">
      <w:r>
        <w:t>In 2023 and at the beginning of 2024 Argenta took a further initiative to put strategic climate ambitions at the forefront and translate them into KPIs at group, business line and product level and to do this within the general framework of the 2024-2027 sustainability action plan.</w:t>
      </w:r>
    </w:p>
    <w:p w14:paraId="603EC358" w14:textId="77777777" w:rsidR="00CA518A" w:rsidRDefault="00000000">
      <w:r>
        <w:t>With strong governance and adequate risk management we believe we are making the right progress towards achieving our objectives.</w:t>
      </w:r>
    </w:p>
    <w:p w14:paraId="62D8E8C0" w14:textId="77777777" w:rsidR="00CA518A" w:rsidRDefault="00000000">
      <w:r>
        <w:t>In the framework of the SREP Supervisory Review and Evaluation Process, the competent supervisor in this case the ECB can impose Pillar 2 requirement and recommend Pillar 2 recommendation higher minimum ratios as a result of assessing the robustness of the business model, the adequacy of risk governance and the adequacy of the capital and liquidity situation.</w:t>
      </w:r>
    </w:p>
    <w:p w14:paraId="3665E92A" w14:textId="77777777" w:rsidR="00CA518A" w:rsidRDefault="00000000">
      <w:r>
        <w:t>In the framework of the SREP, an ICAAP Internal Capital Adequacy Assessment ProcessILAAP Internal Liquidity Adequacy Assessment Process was therefore carried out, resulting in a CAS Capital Adequacy Statement and an LAS Liquidity Adequacy Statement, endorsed by the Board of Directors.</w:t>
      </w:r>
    </w:p>
    <w:p w14:paraId="7EAEBACF" w14:textId="77777777" w:rsidR="00CA518A" w:rsidRDefault="00000000">
      <w:r>
        <w:t>Continuing compliance with new requirements is the responsibility of several departments, including Credit &amp; Insurance Risk Management Support Actuarial, Risk &amp; Validation and Accounting &amp; Reporting.</w:t>
      </w:r>
    </w:p>
    <w:p w14:paraId="10418D24" w14:textId="77777777" w:rsidR="00CA518A" w:rsidRDefault="00000000">
      <w:r>
        <w:t>Its activities encompass Internal Audit, Compliance, Risk &amp; Validation, Non-Financial Risk Management &amp; Supervisory Office, Legal Affairs, Organisation &amp; Talent and General Secretariat.</w:t>
      </w:r>
    </w:p>
    <w:p w14:paraId="3DD04DCF" w14:textId="77777777" w:rsidR="00CA518A" w:rsidRDefault="00000000">
      <w:r>
        <w:t>The purpose of the amendments is to reduce the diversity in reporting on deferred taxes on lease and dismantling obligations.</w:t>
      </w:r>
    </w:p>
    <w:p w14:paraId="7B45CCB9" w14:textId="77777777" w:rsidR="00CA518A" w:rsidRDefault="00000000">
      <w:r>
        <w:lastRenderedPageBreak/>
        <w:t>At the Company, there is no relationship between the business models and the remuneration of the managers and dividend policy.</w:t>
      </w:r>
    </w:p>
    <w:p w14:paraId="3FCBBCD5" w14:textId="77777777" w:rsidR="00CA518A" w:rsidRDefault="00000000">
      <w:r>
        <w:t>Employee benefits Post-employment benefits The Company has both pension obligations for occupational pension schemes with fixed contributions the so-called fixed contribution schemes and pension schemes with targets to be achieved the so-called fixed performance schemes.</w:t>
      </w:r>
    </w:p>
    <w:p w14:paraId="06181950" w14:textId="77777777" w:rsidR="00CA518A" w:rsidRDefault="00000000">
      <w:r>
        <w:t>The main assumption underlying these techniques is that the Company uses past experience of claims development for the projection of claims development in future reporting periods, and consequently the final claims cost.</w:t>
      </w:r>
    </w:p>
    <w:p w14:paraId="658FD50C" w14:textId="77777777" w:rsidR="00CA518A" w:rsidRDefault="00000000">
      <w:r>
        <w:t>The Companys risk management policy and attendant organisational structuring are designed to ensure that the identified risks are always properly identified, analysed, measured, monitored and managed.</w:t>
      </w:r>
    </w:p>
    <w:p w14:paraId="59ED1608" w14:textId="77777777" w:rsidR="00CA518A" w:rsidRDefault="00000000">
      <w:r>
        <w:t>The risk management framework is dynamically managed and consequently updated and adapted to reflect new regulations, daily experience and changes in the Companys activities.</w:t>
      </w:r>
    </w:p>
    <w:p w14:paraId="77732797" w14:textId="77777777" w:rsidR="00CA518A" w:rsidRDefault="00000000">
      <w:r>
        <w:t>The risk management function ensures that all significant risks are demonstrably under control, both now and in the future, and reports on this.</w:t>
      </w:r>
    </w:p>
    <w:p w14:paraId="17C2C145" w14:textId="77777777" w:rsidR="00CA518A" w:rsidRDefault="00000000">
      <w:r>
        <w:t>This allows the Company to develop in a healthy manner in terms of risk profile as a bank and insurer within the risk appetite and strategy as laid down by the Board of Directors offering assurance.</w:t>
      </w:r>
    </w:p>
    <w:p w14:paraId="257D3FD2" w14:textId="16846897" w:rsidR="00CA518A" w:rsidRDefault="00000000">
      <w:r>
        <w:t>The main components of the risk policy model are,  The Board of Directors that, with the support of the Risk Committee, establishes and oversees the risk appetite and general risk tolerance of the Company.</w:t>
      </w:r>
    </w:p>
    <w:p w14:paraId="51062744" w14:textId="723FD968" w:rsidR="00CA518A" w:rsidRDefault="00000000">
      <w:r>
        <w:t>Defining a company-wide risk management framework risk mapping, risk appetite statements, Risk Appetite Framework</w:t>
      </w:r>
      <w:r w:rsidR="00655603">
        <w:t xml:space="preserve">, </w:t>
      </w:r>
      <w:r>
        <w:t>policies and procedures.</w:t>
      </w:r>
    </w:p>
    <w:p w14:paraId="741D3C95" w14:textId="77777777" w:rsidR="00CA518A" w:rsidRDefault="00000000">
      <w:r>
        <w:t>The GRC Non-financial risks GRC NFR is organised at Group level and is the designated body for handling the non-financial risks company-wide and advising on policy and methodology in relation to non-financial risk management.</w:t>
      </w:r>
    </w:p>
    <w:p w14:paraId="20AA1B03" w14:textId="77777777" w:rsidR="00CA518A" w:rsidRDefault="00000000">
      <w:r>
        <w:t>The risk cartography and risk appetite statements for all risk types financial and non-financial were reviewed and aligned with the current monitoring, policy and governance framework, discussed by the risk committees and approved by the Board of Directors.</w:t>
      </w:r>
    </w:p>
    <w:p w14:paraId="38DB17BC" w14:textId="77777777" w:rsidR="00CA518A" w:rsidRDefault="00000000">
      <w:r>
        <w:t>They establish the risk appetite and business development objectives at the level of the most important financial and non-financial risk policy areas.</w:t>
      </w:r>
    </w:p>
    <w:p w14:paraId="482A5260" w14:textId="77777777" w:rsidR="00CA518A" w:rsidRDefault="00000000">
      <w:r>
        <w:t>These can have a material impact on the development of the RAF limit.</w:t>
      </w:r>
    </w:p>
    <w:p w14:paraId="1AA706DE" w14:textId="77777777" w:rsidR="00CA518A" w:rsidRDefault="00000000">
      <w:r>
        <w:t xml:space="preserve">The 12 non-financial risk types are subdivided into the following categoriesrisks, sourcing risk, Human Resources risk, information security &amp; cyber risk, legal &amp; regulatory risk, fraud </w:t>
      </w:r>
      <w:r>
        <w:lastRenderedPageBreak/>
        <w:t>risk, data management risk, strategic &amp; change risk, business continuity risk, brand &amp; sustainability risk, IT risk, process risk and compliance risk.</w:t>
      </w:r>
    </w:p>
    <w:p w14:paraId="14BF2BE6" w14:textId="77777777" w:rsidR="00CA518A" w:rsidRDefault="00000000">
      <w:r>
        <w:t>The group risk management function with a focus on financial risks is performed by the Risk &amp; Validation department.</w:t>
      </w:r>
    </w:p>
    <w:p w14:paraId="0503C158" w14:textId="77777777" w:rsidR="00CA518A" w:rsidRDefault="00000000">
      <w:r>
        <w:t>In order to keep the risks within the risk appetite framework determined by the Board of Directors and within legal limits, the balance sheet is managed both endogenously and exogenously.</w:t>
      </w:r>
    </w:p>
    <w:p w14:paraId="7C1CF594" w14:textId="77777777" w:rsidR="00CA518A" w:rsidRDefault="00000000">
      <w:r>
        <w:t>Within the investment framework and subject to compliance with strict investment criteria, the Company has the possibility to take equity positions into its investment portfolio.</w:t>
      </w:r>
    </w:p>
    <w:p w14:paraId="7E0619D6" w14:textId="77777777" w:rsidR="00CA518A" w:rsidRDefault="00000000">
      <w:r>
        <w:t>This stability therefore depends on maintaining the account holders confidence in the Companys solvency, profitability and risk management.</w:t>
      </w:r>
    </w:p>
    <w:p w14:paraId="4B1A164F" w14:textId="77777777" w:rsidR="00CA518A" w:rsidRDefault="00000000">
      <w:r>
        <w:t>The ILAAP Policy, which has been approved by the Board of Directors, provides an overview and description of the key elements of ILAAP and their interaction, and explains how ILAAP is integrated into the Companys operations and how its findings are used.</w:t>
      </w:r>
    </w:p>
    <w:p w14:paraId="42D6C05F" w14:textId="77777777" w:rsidR="00CA518A" w:rsidRDefault="00000000">
      <w:r>
        <w:t>In addition to the extensive regulatory reporting, extensive internal reporting has also been developed.</w:t>
      </w:r>
    </w:p>
    <w:p w14:paraId="439ED706" w14:textId="77777777" w:rsidR="00CA518A" w:rsidRDefault="00000000">
      <w:r>
        <w:t>Credit risk management is therefore focused on these three segments.</w:t>
      </w:r>
    </w:p>
    <w:p w14:paraId="3FABEB34" w14:textId="77777777" w:rsidR="00CA518A" w:rsidRDefault="00000000">
      <w:r>
        <w:t>The most important elements of risk management for the retail segment are, the limits and escalation framework from the overarching retail credit risk policy, the Belgian acceptance and authorisation framework and the Dutch mortgage acceptance policy for the granting of the loans and advances with for example the limits set for assessing the creditworthiness of the customers and the default policy.</w:t>
      </w:r>
    </w:p>
    <w:p w14:paraId="416B048E" w14:textId="77777777" w:rsidR="00CA518A" w:rsidRDefault="00000000">
      <w:r>
        <w:t>These different initiatives are monitored by the value stream concerned and supported through the operation of the GRC Financial Risk Committee and the Delivery Committee, with reporting to the Executive Committee and to the Risk Committee of the Board of Directors.</w:t>
      </w:r>
    </w:p>
    <w:p w14:paraId="419A8D2F" w14:textId="77777777" w:rsidR="00CA518A" w:rsidRDefault="00000000">
      <w:r>
        <w:t>In addition to an assessment of historical performance, this analysis includes the impact of future market developments, sensitivity analyses and climate risk more specifically transition risk.</w:t>
      </w:r>
    </w:p>
    <w:p w14:paraId="6127167E" w14:textId="77777777" w:rsidR="00CA518A" w:rsidRDefault="00000000">
      <w:r>
        <w:t>This produces an internal rating that reflects the correct creditworthiness, an assessment also being provided of future developments by means of an internal rating outlook.</w:t>
      </w:r>
    </w:p>
    <w:p w14:paraId="3396D87C" w14:textId="77777777" w:rsidR="00CA518A" w:rsidRDefault="00000000">
      <w:r>
        <w:t>This meeting ratifies proposed internal ratings or decides on the assignment of internal ratings, following a well-defined governance framework and with two separate decision levels.</w:t>
      </w:r>
    </w:p>
    <w:p w14:paraId="3CFBD86D" w14:textId="77777777" w:rsidR="00CA518A" w:rsidRDefault="00000000">
      <w:r>
        <w:lastRenderedPageBreak/>
        <w:t>This analysis and the individual counterparty analyses form the basis of the regular reporting to, and discussion in, Alco via the first-line report of which credit risk is part, the Executive Committee and the Risk Committee of the Board of Directors.</w:t>
      </w:r>
    </w:p>
    <w:p w14:paraId="24AA9D19" w14:textId="77777777" w:rsidR="00CA518A" w:rsidRDefault="00000000">
      <w:r>
        <w:t>As a result of the implementation of the new definition of default in 2020, the development of these models continued in the course of 2021.</w:t>
      </w:r>
    </w:p>
    <w:p w14:paraId="40599735" w14:textId="77777777" w:rsidR="00CA518A" w:rsidRDefault="00000000">
      <w:r>
        <w:t>Action plans have been drawn up to make improvements in the property valuation processes, including the recording of energy performance certificates and energy labels as part of the collection and reporting of information on the energy efficiency of real estate exposures.</w:t>
      </w:r>
    </w:p>
    <w:p w14:paraId="480A9EE6" w14:textId="77777777" w:rsidR="00CA518A" w:rsidRDefault="00000000">
      <w:r>
        <w:t>Risk management The Company applies a clearly defined acceptance policy that is focused on well-defined target groups.</w:t>
      </w:r>
    </w:p>
    <w:p w14:paraId="5A7EC4CE" w14:textId="77777777" w:rsidR="00CA518A" w:rsidRDefault="00000000">
      <w:r>
        <w:t>Within the risk cartography, which is updated annually, the non-financial risks are defined as compliance risk, IT risk, legal &amp; regulatory risk, business continuity risk, sourcing risk, cyber &amp; information security risk, process risk, human resources risk, brand &amp; sustainability risk, strategic &amp; change risk, data management risk and fraud risk.</w:t>
      </w:r>
    </w:p>
    <w:p w14:paraId="4C50F837" w14:textId="77777777" w:rsidR="00CA518A" w:rsidRDefault="00000000">
      <w:r>
        <w:t>Risk management The importance of and the focus on non-financial risks has increased significantly in recent years with, among other things, increased digitisation, the increased speed of change, and additional laws and regulations.</w:t>
      </w:r>
    </w:p>
    <w:p w14:paraId="594F269A" w14:textId="77777777" w:rsidR="00CA518A" w:rsidRDefault="00000000">
      <w:r>
        <w:t>The RAF is the subject of quarterly reporting at the Risk Committees, with feedback to the Boards.</w:t>
      </w:r>
    </w:p>
    <w:p w14:paraId="4C88CCDE" w14:textId="77777777" w:rsidR="00CA518A" w:rsidRDefault="00000000">
      <w:r>
        <w:t>Argenta, as an integrated bank-insurer, chooses to assess its banking and insurance activities jointly in the area of governance and internal control.</w:t>
      </w:r>
    </w:p>
    <w:p w14:paraId="37284235" w14:textId="77777777" w:rsidR="00CA518A" w:rsidRDefault="00000000">
      <w:r>
        <w:t>Approval by the Executive Committee of the assessment of the internal control system also serves as the statement by senior management with regard to the effectiveness of the governance system.</w:t>
      </w:r>
    </w:p>
    <w:p w14:paraId="1E80B1C4" w14:textId="77777777" w:rsidR="00CA518A" w:rsidRDefault="00000000">
      <w:r>
        <w:t>To monitor this risk, systematic comparisons are made with the regulatory requirements and internal objectives.</w:t>
      </w:r>
    </w:p>
    <w:p w14:paraId="4A305CC2" w14:textId="77777777" w:rsidR="00CA518A" w:rsidRDefault="00000000">
      <w:r>
        <w:t>In the framework of the SREP Supervisory Review and Evaluation Process, the competent supervisor in this case the ECB can impose higher minimum ratios as a result of the assessment of the robustness of the business model, the adequacy of the risk governance and the adequacy of the capital and liquidity situation.</w:t>
      </w:r>
    </w:p>
    <w:p w14:paraId="3C634CED" w14:textId="77777777" w:rsidR="00CA518A" w:rsidRDefault="00000000">
      <w:r>
        <w:t>Independent directors are appointed with a view to attracting competencies in the Argenta Groups core activities, namely banking and insurance.</w:t>
      </w:r>
    </w:p>
    <w:p w14:paraId="488B00C1" w14:textId="77777777" w:rsidR="00CA518A" w:rsidRDefault="00000000">
      <w:r>
        <w:t>The Remuneration Committee supports the Board of Directors in overseeing the remuneration policy.</w:t>
      </w:r>
    </w:p>
    <w:p w14:paraId="17A8D218" w14:textId="77777777" w:rsidR="00CA518A" w:rsidRDefault="00000000">
      <w:r>
        <w:lastRenderedPageBreak/>
        <w:t>The limited specific activities of BVg are overseen by the Audit Committee and the Risk Committee set up within the Board of Directors of Aspa.</w:t>
      </w:r>
    </w:p>
    <w:p w14:paraId="42909E5D" w14:textId="77777777" w:rsidR="00CA518A" w:rsidRDefault="00000000">
      <w:r>
        <w:t>The Audit Committee supports the Board of Directors in fulfilling its duty of oversight of the financial reporting process, the internal control system, the audit process and the process for monitoring compliance with legislation and regulations.</w:t>
      </w:r>
    </w:p>
    <w:p w14:paraId="41181FBD" w14:textId="77777777" w:rsidR="00CA518A" w:rsidRDefault="00000000">
      <w:r>
        <w:t>On the other hand the Audit Committee members are required to have collective expertise in the area of Banks activities and in the area of accounting and auditing.</w:t>
      </w:r>
    </w:p>
    <w:p w14:paraId="230B60AE" w14:textId="77777777" w:rsidR="00CA518A" w:rsidRDefault="00000000">
      <w:r>
        <w:t>An assessment of the working and effectiveness of the Board of Directors took place at the end of 2023.</w:t>
      </w:r>
    </w:p>
    <w:p w14:paraId="0688BEBE" w14:textId="77777777" w:rsidR="00CA518A" w:rsidRDefault="00000000">
      <w:r>
        <w:t>External appointments and personal interests of the directors Each director is encouraged to organise his personal and professional activities in such a way as to avoid conflicts of interest with the Argenta Group in line with Article 7, 96 CCA The Boards of Directors of the Argenta Group companies have in their internal rules of procedure established policies, including organisational and administrative arrangements including keeping information on the application of the same, and procedures for identifying and forestalling conflicts of interest or, where this is not reasonably possible, managing the conflicts of interest without harming the interests of customers.</w:t>
      </w:r>
    </w:p>
    <w:p w14:paraId="470A3618" w14:textId="77777777" w:rsidR="00CA518A" w:rsidRDefault="00000000">
      <w:r>
        <w:t>Apart from the fixed annual remuneration, the Chairman of the Board also enjoys the benefits of an IPT Individual Retirement Commitment, a company car, an expense allowance and contributions to the collective hospitalisation costs policy.</w:t>
      </w:r>
    </w:p>
    <w:p w14:paraId="6DCA23F6" w14:textId="77777777" w:rsidR="00CA518A" w:rsidRDefault="00000000">
      <w:r>
        <w:t>Remuneration of executive directors The executive directors receive fixed annual remuneration that does not include any elements that could encourage the pursuit of short-term objectives that are inconsistent with the Argenta Groups longer-term objectives.</w:t>
      </w:r>
    </w:p>
    <w:p w14:paraId="7ED28E1F" w14:textId="77777777" w:rsidR="00CA518A" w:rsidRDefault="00000000">
      <w:r>
        <w:t>The fixed annual remuneration complies with the requirements laid down by Annex 2 of the Banking Act on remuneration policy.</w:t>
      </w:r>
    </w:p>
    <w:p w14:paraId="6EA341E8" w14:textId="77777777" w:rsidR="00CA518A" w:rsidRDefault="00000000">
      <w:r>
        <w:t>Additional auditing activities and advisory assignments are approved in advance by the Audit Committee in accordance with Article 3, 64 §5 and 3, 65 of the WVV.</w:t>
      </w:r>
    </w:p>
    <w:p w14:paraId="08244ADC" w14:textId="77777777" w:rsidR="00CA518A" w:rsidRDefault="00000000">
      <w:r>
        <w:t>The result in the Netherlands is realised by the Companys branch office, whereby the Companys head office finances the branch office and exercises a number of activities mainly of a general strategy and risk management nature for the branch office.</w:t>
      </w:r>
    </w:p>
    <w:p w14:paraId="73588AD9" w14:textId="77777777" w:rsidR="00CA518A" w:rsidRDefault="00000000">
      <w:r>
        <w:t>The increase in the net interest result in Belgium is mainly the result of the positive development of the interest income in the liquid assets, loans and investment portfolios, derivatives and the funding provided to the branch, offset in part by the extra financing costs due to the increased interest rate.</w:t>
      </w:r>
    </w:p>
    <w:p w14:paraId="26D39820" w14:textId="77777777" w:rsidR="00CA518A" w:rsidRDefault="00000000">
      <w:r>
        <w:lastRenderedPageBreak/>
        <w:t>The Company has opted to hedge a portfolio of loans with a fixed interest rate, and selects within that portfolio the hedged positions as a function of the interest rate risk management strategy.</w:t>
      </w:r>
    </w:p>
    <w:p w14:paraId="1E7FCFAE" w14:textId="77777777" w:rsidR="00CA518A" w:rsidRDefault="00000000">
      <w:r>
        <w:t>The deferred tax liabilities on derivatives decreased in 2023 as a result of the negative development of the fair value.</w:t>
      </w:r>
    </w:p>
    <w:p w14:paraId="284F07B3" w14:textId="77777777" w:rsidR="00CA518A" w:rsidRDefault="00000000">
      <w:r>
        <w:t>The main assumption underlying these techniques is that the Company uses past experience of the development of claims to project the development of claims in future reporting periods and consequently the ultimate cost of claims.</w:t>
      </w:r>
    </w:p>
    <w:p w14:paraId="7AE72E6C" w14:textId="77777777" w:rsidR="00CA518A" w:rsidRDefault="00000000">
      <w:r>
        <w:t>The weighting of the different scenarios is adjusted at regular intervals on the basis of the development of the main macroeconomic indicators in combination with our internal assessment of where we are in the economic cycle.</w:t>
      </w:r>
    </w:p>
    <w:p w14:paraId="11ECE19E" w14:textId="77777777" w:rsidR="00CA518A" w:rsidRDefault="00000000">
      <w:r>
        <w:t>Back tests have shown that this increase is adequate and the relevant developments are processed in the ECL calculations according to the internal expectations.</w:t>
      </w:r>
    </w:p>
    <w:p w14:paraId="479831F4" w14:textId="77777777" w:rsidR="00CA518A" w:rsidRDefault="00000000">
      <w:r>
        <w:t>The overlays are approved by the responsible first-line directors and acted upon in the GRC-FR.</w:t>
      </w:r>
    </w:p>
    <w:p w14:paraId="34C14963" w14:textId="77777777" w:rsidR="00CA518A" w:rsidRDefault="00000000">
      <w:r>
        <w:t>The result in the Netherlands is realised largely by the Companys branch office, whereby the Company provides financing to the branch office and carries out a number of activities mainly in the areas of general strategy and risk management for the branch office.</w:t>
      </w:r>
    </w:p>
    <w:p w14:paraId="76293C72" w14:textId="77777777" w:rsidR="00CA518A" w:rsidRDefault="00000000">
      <w:r>
        <w:t>In our opinion, the consolidated financial statements give a true and fair view of the Groups equity and financial position as at 31 December 2023 and of its consolidated financial performance and its consolidated cash flows for the year then ended in accordance with IFRS Accounting Standards as issued by the International Accounting Standards Board and as adopted by the European Union, and with the legal and regulatory requirements applicable in Belgium.</w:t>
      </w:r>
    </w:p>
    <w:p w14:paraId="2700C752" w14:textId="77777777" w:rsidR="00CA518A" w:rsidRDefault="00000000">
      <w:r>
        <w:t>Statutory auditors responsibilities for the audit of the consolidated financial statements Our objectives are to obtain reasonable assurance as to whether the consolidated financial statements as a whole are free from material misstatement, whether due to fraud or error, and to issue an auditors report that includes our opinion.</w:t>
      </w:r>
    </w:p>
    <w:p w14:paraId="63EB4976" w14:textId="77777777" w:rsidR="00CA518A" w:rsidRDefault="00000000">
      <w:r>
        <w:t>As part of an audit in accordance with ISAs, we exercise professional judgement and maintain professional skepticism throughout the audit.</w:t>
      </w:r>
    </w:p>
    <w:p w14:paraId="546E284E" w14:textId="77777777" w:rsidR="00CA518A" w:rsidRDefault="00000000">
      <w:r>
        <w:t>We are responsible for the direction, supervision and performance of the group audit.</w:t>
      </w:r>
    </w:p>
    <w:p w14:paraId="210D1C84" w14:textId="77777777" w:rsidR="00CA518A" w:rsidRDefault="00000000">
      <w:r>
        <w:t>In the context of our audit of the consolidated financial statements, we are also responsible for considering, in particular based on the knowledge gained throughout the audit, whether the board of directors annual report on the consolidated financial statements contains material misstatements, that is information incorrectly stated or misleading.</w:t>
      </w:r>
    </w:p>
    <w:sectPr w:rsidR="00CA51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30036143">
    <w:abstractNumId w:val="8"/>
  </w:num>
  <w:num w:numId="2" w16cid:durableId="1047559636">
    <w:abstractNumId w:val="6"/>
  </w:num>
  <w:num w:numId="3" w16cid:durableId="1872841025">
    <w:abstractNumId w:val="5"/>
  </w:num>
  <w:num w:numId="4" w16cid:durableId="890309500">
    <w:abstractNumId w:val="4"/>
  </w:num>
  <w:num w:numId="5" w16cid:durableId="1989557502">
    <w:abstractNumId w:val="7"/>
  </w:num>
  <w:num w:numId="6" w16cid:durableId="1788354112">
    <w:abstractNumId w:val="3"/>
  </w:num>
  <w:num w:numId="7" w16cid:durableId="2052143672">
    <w:abstractNumId w:val="2"/>
  </w:num>
  <w:num w:numId="8" w16cid:durableId="559554483">
    <w:abstractNumId w:val="1"/>
  </w:num>
  <w:num w:numId="9" w16cid:durableId="1034379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755"/>
    <w:rsid w:val="00655603"/>
    <w:rsid w:val="00794228"/>
    <w:rsid w:val="00AA1D8D"/>
    <w:rsid w:val="00B47730"/>
    <w:rsid w:val="00CA51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4595D"/>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2668</Words>
  <Characters>15213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2025-08-03T20:12:00Z</dcterms:modified>
  <cp:category/>
</cp:coreProperties>
</file>