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BB25B" w14:textId="77777777" w:rsidR="00264FCF" w:rsidRDefault="00000000">
      <w:r>
        <w:t>The risk management framework is managed dynamically and therefore adapted and updated in response to new regulations, daily experience and changes in the Argenta Groups activities.</w:t>
      </w:r>
    </w:p>
    <w:p w14:paraId="05462D92" w14:textId="77777777" w:rsidR="00264FCF" w:rsidRDefault="00000000">
      <w:r>
        <w:t>The strategy and long-term policy of all entities within the Argenta Group are determined by the Executive Committee and the Board of the Company.</w:t>
      </w:r>
    </w:p>
    <w:p w14:paraId="704EEBB7" w14:textId="77777777" w:rsidR="00264FCF" w:rsidRDefault="00000000">
      <w:r>
        <w:t>The two main subsidiaries, Aspa and Aras, are responsible for operational management within their own areas of competence as established in the Memorandum of Internal Governance.</w:t>
      </w:r>
    </w:p>
    <w:p w14:paraId="1EB5B5BB" w14:textId="77777777" w:rsidR="00264FCF" w:rsidRDefault="00000000">
      <w:r>
        <w:t>In summary, the specialised committees have the following responsibilities,  Audit Committee, The Audit Committee supports the Board of Directors in fulfilling its duty of oversight of the financial reporting process, the internal control system, the audit process and the process for monitoring compliance with legislation and regulations.</w:t>
      </w:r>
    </w:p>
    <w:p w14:paraId="3C099024" w14:textId="77777777" w:rsidR="00264FCF" w:rsidRDefault="00000000">
      <w:r>
        <w:t>The Companys risk management policy and attendant organisational structuring are designed to ensure that the known risks are always properly identified, analysed, measured, monitored and managed.</w:t>
      </w:r>
    </w:p>
    <w:p w14:paraId="55EB7A50" w14:textId="77777777" w:rsidR="00264FCF" w:rsidRDefault="00000000">
      <w:r>
        <w:t>The 12 non-financial risk types are subdivided into the following categoriesrisks, sourcing risk, human resources risk, information security &amp; cyber risk, legal &amp; regulatory risk, fraud risk, data management risk, strategic &amp; change risk, business continuity risk, brand &amp; sustainability risk, IT risk, process risk and compliance risk.</w:t>
      </w:r>
    </w:p>
    <w:p w14:paraId="45C0229C" w14:textId="77777777" w:rsidR="00264FCF" w:rsidRDefault="00000000">
      <w:r>
        <w:t>The risk management framework and control systems are based on a risk identification process via the risk mapping, with measurement via the aforementioned RAF, in combination with prevention and control measures.</w:t>
      </w:r>
    </w:p>
    <w:p w14:paraId="76FC8273" w14:textId="77777777" w:rsidR="00264FCF" w:rsidRDefault="00000000">
      <w:r>
        <w:t>However, the internal risk management framework and control systems cannot offer absolute certainty.</w:t>
      </w:r>
    </w:p>
    <w:p w14:paraId="5025766E" w14:textId="77777777" w:rsidR="00264FCF" w:rsidRDefault="00000000">
      <w:r>
        <w:t>The Executive Committee is continuously striving to further improve and optimise the Companys risk management.</w:t>
      </w:r>
    </w:p>
    <w:p w14:paraId="483D2F27" w14:textId="77777777" w:rsidR="00264FCF" w:rsidRDefault="00000000">
      <w:r>
        <w:t>These documents came to the conclusion that, with respect to the financial risks, the financial result was achieved within Argentas appetite with respect to financial risk for 2023 and within the legal requirements imposed on the risk management function.</w:t>
      </w:r>
    </w:p>
    <w:p w14:paraId="6E46D929" w14:textId="77777777" w:rsidR="00264FCF" w:rsidRDefault="00000000">
      <w:r>
        <w:t>A specific area for attention in 2023 was also pointed out which concerns both financial risks with a focus, as hot spot risks, on climate risk, business risk and credit risk and non-financial risks with a focus on information security &amp; cyber risk, data management risk, strategic &amp; change risk and sourcing risk.</w:t>
      </w:r>
    </w:p>
    <w:p w14:paraId="2F05EC9C" w14:textId="77777777" w:rsidR="00264FCF" w:rsidRDefault="00000000">
      <w:r>
        <w:t xml:space="preserve">In 2024, the points for attention for financial risks will be business risk, market risk and climate &amp; sustainability risk, and for non-financial risks they will be information security &amp; </w:t>
      </w:r>
      <w:r>
        <w:lastRenderedPageBreak/>
        <w:t>cyber risk, data management risk, sourcing risk, strategic &amp; change risk and brand &amp; sustainability risk.</w:t>
      </w:r>
    </w:p>
    <w:p w14:paraId="1152FA1C" w14:textId="77777777" w:rsidR="00264FCF" w:rsidRDefault="00000000">
      <w:r>
        <w:t>As required in Article 435 of the CRR, we declare that we have, in our view, taken the risk management measures that are necessary and appropriate for the Companys profile and strategy.</w:t>
      </w:r>
    </w:p>
    <w:p w14:paraId="3751CB0E" w14:textId="77777777" w:rsidR="00264FCF" w:rsidRDefault="00000000">
      <w:r>
        <w:t>Use of the standardised approach for further details of the regulatory standardised floor for Dutch mortgage loans.</w:t>
      </w:r>
    </w:p>
    <w:p w14:paraId="57E7AB7B" w14:textId="77777777" w:rsidR="00264FCF" w:rsidRDefault="00000000">
      <w:r>
        <w:t>The valuation of collateral retail policy, which applies to all entities, was approved by the Board of Directors on 26 January 2021 with the related procedures standards.</w:t>
      </w:r>
    </w:p>
    <w:p w14:paraId="6DAA6DE4" w14:textId="77777777" w:rsidR="00264FCF" w:rsidRDefault="00000000">
      <w:r>
        <w:t>As a general rule, deviations from this framework for individual transactions are possible only with an approval of the Board of Directors.</w:t>
      </w:r>
    </w:p>
    <w:p w14:paraId="3E46A65C" w14:textId="77777777" w:rsidR="00264FCF" w:rsidRDefault="00000000">
      <w:r>
        <w:t>Metrics relating to climate and sustainability risk have been incorporated into the RAF limits framework in both policies.</w:t>
      </w:r>
    </w:p>
    <w:p w14:paraId="3768EBDE" w14:textId="77777777" w:rsidR="00264FCF" w:rsidRDefault="00000000">
      <w:r>
        <w:t>The general policy on credit risk and concentration risk is set out in the internal financial policy and the internal Credit Risk Management retail policy.</w:t>
      </w:r>
    </w:p>
    <w:p w14:paraId="4F2D7253" w14:textId="77777777" w:rsidR="00264FCF" w:rsidRDefault="00000000">
      <w:r>
        <w:t>Embedding and implementation of the IRB approach in the organisation The embedding of the IRB approach in the context of the Basel credit risk has been implemented by integrating it into the internal policies, the credit acceptance process, decision-making, risk management, investment policy and internal capital allocation.</w:t>
      </w:r>
    </w:p>
    <w:p w14:paraId="1D87A95B" w14:textId="77777777" w:rsidR="00264FCF" w:rsidRDefault="00000000">
      <w:r>
        <w:t>This aspect involves, among other things, the implementation of the models in the operational business and risk management environment credit application and the Basel scoring, measurement and calculation software.</w:t>
      </w:r>
    </w:p>
    <w:p w14:paraId="7878BB4E" w14:textId="77777777" w:rsidR="00264FCF" w:rsidRDefault="00000000">
      <w:r>
        <w:t>The CRMS sub-department within the Credit &amp; Insurance Risk Management Support department is responsible for developing the models for retail lending.</w:t>
      </w:r>
    </w:p>
    <w:p w14:paraId="4AB6A8D4" w14:textId="77777777" w:rsidR="00264FCF" w:rsidRDefault="00000000">
      <w:r>
        <w:t>Within the governance framework for managing credit risk models and the project systems designed for this purpose, the Risk &amp; Validation department has a specific second line role in the development and management of the internal models.</w:t>
      </w:r>
    </w:p>
    <w:p w14:paraId="5C77B2D7" w14:textId="3A7F9C91" w:rsidR="00264FCF" w:rsidRDefault="00000000">
      <w:r>
        <w:t>The validators task is clearly and concretely defined in a Model Risk Management Framework</w:t>
      </w:r>
      <w:r w:rsidR="00090929">
        <w:t>.</w:t>
      </w:r>
    </w:p>
    <w:p w14:paraId="7714DC89" w14:textId="77777777" w:rsidR="00264FCF" w:rsidRDefault="00000000">
      <w:r>
        <w:t>The way in which Argenta deals with the risk inherent in models and the operational use of these models in decision-making is anchored in this MRMF, which controls the governance of models as well as the concrete measures for the management of models.</w:t>
      </w:r>
    </w:p>
    <w:p w14:paraId="765D6C53" w14:textId="77777777" w:rsidR="00264FCF" w:rsidRDefault="00000000">
      <w:r>
        <w:t>The Internal Audit department is responsible for determining whether a bank wishing to qualify for the advanced approach to credit risk under Basel meets all the minimum requirements.</w:t>
      </w:r>
    </w:p>
    <w:p w14:paraId="7911B664" w14:textId="77777777" w:rsidR="00264FCF" w:rsidRDefault="00000000">
      <w:r>
        <w:lastRenderedPageBreak/>
        <w:t>The results of these models are discussed with the first-line departments and included in the GRC-FR financial risk The performance of the models, as well as planned developments, is discussed at the Model Review Committee GRC-Moco.</w:t>
      </w:r>
    </w:p>
    <w:p w14:paraId="378F1F7A" w14:textId="77777777" w:rsidR="00264FCF" w:rsidRDefault="00000000">
      <w:r>
        <w:t>Before inclusion in the portfolio, every financial institution, corporate and real estate counterparty is assigned an internal rating, in accordance with the FIRB framework authorised and implemented at Argenta Group.</w:t>
      </w:r>
    </w:p>
    <w:p w14:paraId="08B75C9F" w14:textId="77777777" w:rsidR="00264FCF" w:rsidRDefault="00000000">
      <w:r>
        <w:t>For 2024, the focus for non-financial risks will be on the same risk types, with the further addition of brand &amp; sustainability risk.</w:t>
      </w:r>
    </w:p>
    <w:p w14:paraId="7D68F64E" w14:textId="77777777" w:rsidR="00264FCF" w:rsidRDefault="00000000">
      <w:r>
        <w:t>Alco or the GRC-Moco can decide to adjust a methodology or behavioural model as a result of market or regulatory developments.</w:t>
      </w:r>
    </w:p>
    <w:p w14:paraId="3EBE1788" w14:textId="77777777" w:rsidR="00264FCF" w:rsidRDefault="00000000">
      <w:r>
        <w:t>The replicating models are subject to the internal Model Risk Management Governance.</w:t>
      </w:r>
    </w:p>
    <w:p w14:paraId="1D99865D" w14:textId="77777777" w:rsidR="00264FCF" w:rsidRDefault="00000000">
      <w:r>
        <w:t>Approach to option risks Within interest rate risk management, the Company distinguishes three optional risks in the balance sheet.</w:t>
      </w:r>
    </w:p>
    <w:p w14:paraId="25C45BFA" w14:textId="77777777" w:rsidR="00264FCF" w:rsidRDefault="00000000">
      <w:r>
        <w:t>These prepayment models are subject to the internal Model Risk Management Governance.</w:t>
      </w:r>
    </w:p>
    <w:p w14:paraId="79095684" w14:textId="77777777" w:rsidR="00264FCF" w:rsidRDefault="00000000">
      <w:r>
        <w:t>In the RAF, the leverage ratio is one of the indicators that are systematically included in the periodic reports to management and to the Boards Risk Committee.</w:t>
      </w:r>
    </w:p>
    <w:p w14:paraId="7648F7D7" w14:textId="77777777" w:rsidR="00264FCF" w:rsidRDefault="00000000">
      <w:r>
        <w:t>The ongoing development of its activities as a conventional savings bank and hence, among other things, as a transformation bank a bank that converts transforms funds deposited short-term into long-term investments, calls for continuous monitoring of the required capital.</w:t>
      </w:r>
    </w:p>
    <w:p w14:paraId="6858F6E7" w14:textId="1E53F8AA" w:rsidR="00264FCF" w:rsidRDefault="00000000">
      <w:r>
        <w:t xml:space="preserve">The objective of the normative ICAAP is to investigate capital adequacy under basic and stress scenarios over a 3-year horizon, and while always meeting minimum capital ratios as set by the ECB, </w:t>
      </w:r>
      <w:proofErr w:type="gramStart"/>
      <w:r>
        <w:t>taking into account</w:t>
      </w:r>
      <w:proofErr w:type="gramEnd"/>
      <w:r>
        <w:t xml:space="preserve"> changes in the regulatory framework</w:t>
      </w:r>
      <w:r w:rsidR="00090929">
        <w:t>.</w:t>
      </w:r>
    </w:p>
    <w:p w14:paraId="3804E93D" w14:textId="13BA2DE8" w:rsidR="00264FCF" w:rsidRDefault="00000000">
      <w:r>
        <w:t xml:space="preserve">This stability therefore depends on maintaining the account </w:t>
      </w:r>
      <w:r w:rsidR="00090929">
        <w:t>holder’s</w:t>
      </w:r>
      <w:r>
        <w:t xml:space="preserve"> confidence in the Companys solvency, profitability and risk management.</w:t>
      </w:r>
    </w:p>
    <w:p w14:paraId="2F74A386" w14:textId="77777777" w:rsidR="00264FCF" w:rsidRDefault="00000000">
      <w:r>
        <w:t>The ILAAP Policy, which has been approved by the Board of Directors, provides an overview and description of the key elements of ILAAP and their interaction, and explains how ILAAP is integrated into Argentas operations and how its findings are used.</w:t>
      </w:r>
    </w:p>
    <w:p w14:paraId="28B227C5" w14:textId="77777777" w:rsidR="00264FCF" w:rsidRDefault="00000000">
      <w:r>
        <w:t>In addition to the extensive regulatory reporting, extensive internal reporting has also been developed.</w:t>
      </w:r>
    </w:p>
    <w:p w14:paraId="55AC6D1C" w14:textId="77777777" w:rsidR="00264FCF" w:rsidRDefault="00000000">
      <w:r>
        <w:t>Remuneration policy, diversity and integrity This section provides disclosures on remuneration policy both substantive elements and the decision-making process for arriving at this policy.</w:t>
      </w:r>
    </w:p>
    <w:p w14:paraId="52E29C05" w14:textId="77777777" w:rsidR="00264FCF" w:rsidRDefault="00000000">
      <w:r>
        <w:lastRenderedPageBreak/>
        <w:t>Argenta has 3 charters that describe the basic principles and values that Argenta sees as central to its activities, the Suitability of Key Officers Charter including Diversity, the Integrity Charter and the Sustainability Charter.</w:t>
      </w:r>
    </w:p>
    <w:p w14:paraId="5A884548" w14:textId="77777777" w:rsidR="00264FCF" w:rsidRDefault="00000000">
      <w:r>
        <w:t>It monitors the evolution of compensation within the Argenta Group, makes sure that the remuneration policy promotes a solid risk culture, and makes general recommendations to the Board of Directors.</w:t>
      </w:r>
    </w:p>
    <w:p w14:paraId="38D6B05A" w14:textId="77777777" w:rsidR="00264FCF" w:rsidRDefault="00000000">
      <w:r>
        <w:t>For this purpose, it also examines annually whether remuneration in the Argenta Group is in line with the remuneration policy.</w:t>
      </w:r>
    </w:p>
    <w:p w14:paraId="1F383454" w14:textId="77777777" w:rsidR="00264FCF" w:rsidRDefault="00000000">
      <w:r>
        <w:t>The Remuneration Committee assesses annually the remuneration of executive and non-executive directors from the perspective of the remuneration policy adopted by Argenta and the conformity of the remuneration with legal and regulatory provisions, including the possibility that the remuneration could be such as to create a conflict of interest between the directors and the institution.</w:t>
      </w:r>
    </w:p>
    <w:p w14:paraId="4A3C46DE" w14:textId="77777777" w:rsidR="00264FCF" w:rsidRDefault="00000000">
      <w:r>
        <w:t>The Committee confirms that this remuneration is consistent with Argentas remuneration policy, and with the business strategy, objectives, values, and long-term interests of the institution.</w:t>
      </w:r>
    </w:p>
    <w:p w14:paraId="05779003" w14:textId="77777777" w:rsidR="00264FCF" w:rsidRDefault="00000000">
      <w:r>
        <w:t>The committee has determined that the remuneration of the executive directors is in line with Argentas remuneration policy, and with the business strategy, objectives, values and long-term interests of the institution.</w:t>
      </w:r>
    </w:p>
    <w:p w14:paraId="56DC8301" w14:textId="77777777" w:rsidR="00264FCF" w:rsidRDefault="00000000">
      <w:r>
        <w:t>Remuneration policy of the Argenta Group The remuneration of the directors is determined by the General Meeting on the basis of the relevant legal regulations and on the proposal of the Board of Directors, having obtained the advice of the Remuneration Committee.</w:t>
      </w:r>
    </w:p>
    <w:p w14:paraId="649A94E1" w14:textId="77777777" w:rsidR="00264FCF" w:rsidRDefault="00000000">
      <w:r>
        <w:t>The Board of Directors is then responsible for supervising the implementation of the decision of the general meeting.</w:t>
      </w:r>
    </w:p>
    <w:p w14:paraId="194E5B93" w14:textId="77777777" w:rsidR="00264FCF" w:rsidRDefault="00000000">
      <w:r>
        <w:t>This policy takes account of the complexity and structures of the Group to determine, develop and implement a consistent policy for the whole Group that is in accordance with the Groups risk management strategies.</w:t>
      </w:r>
    </w:p>
    <w:p w14:paraId="6E1BD617" w14:textId="77777777" w:rsidR="00264FCF" w:rsidRDefault="00000000">
      <w:r>
        <w:t>This policy does not apply to the branch managers or their employees.</w:t>
      </w:r>
    </w:p>
    <w:p w14:paraId="3CF11955" w14:textId="77777777" w:rsidR="00264FCF" w:rsidRDefault="00000000">
      <w:r>
        <w:t>Argenta guarantees,  the overall consistency of the Groups remuneration policy, by ensuring that it satisfies the statutory requirements of companies forming part of the Group and by ensuring the proper application thereof.</w:t>
      </w:r>
    </w:p>
    <w:p w14:paraId="086597CA" w14:textId="77777777" w:rsidR="00264FCF" w:rsidRDefault="00000000">
      <w:r>
        <w:t>The main aspects of this policy are,  the compensation benchmarks, benchmarks established by the Board of Directors for all function types at Argenta.</w:t>
      </w:r>
    </w:p>
    <w:p w14:paraId="3C7CE5EB" w14:textId="46D75A66" w:rsidR="00264FCF" w:rsidRDefault="00000000">
      <w:r>
        <w:t>Two collective agreements were concluded for the entire package of updates,</w:t>
      </w:r>
      <w:r w:rsidR="00090929">
        <w:t xml:space="preserve"> </w:t>
      </w:r>
      <w:r>
        <w:t xml:space="preserve">Collective agreement on the update to the remuneration policy </w:t>
      </w:r>
      <w:proofErr w:type="gramStart"/>
      <w:r>
        <w:t>02122022  Collective</w:t>
      </w:r>
      <w:proofErr w:type="gramEnd"/>
      <w:r>
        <w:t xml:space="preserve"> agreement on </w:t>
      </w:r>
      <w:r>
        <w:lastRenderedPageBreak/>
        <w:t>teleworking 02122022 In addition to the standard remuneration monthly salary, all Argenta staff members receive double holiday pay, a 13th month, hospitalisation insurance, group insurance, disability insurance and meal vouchers.</w:t>
      </w:r>
    </w:p>
    <w:p w14:paraId="1E8D316E" w14:textId="77777777" w:rsidR="00264FCF" w:rsidRDefault="00000000">
      <w:r>
        <w:t>The Argenta remuneration policy for non-directors of 27062023 describes the principles applied by Argenta to achieve sustainable and correct remuneration for the non-director employees of Argentas companies in Belgium.</w:t>
      </w:r>
    </w:p>
    <w:p w14:paraId="29AE0042" w14:textId="77777777" w:rsidR="00264FCF" w:rsidRDefault="00000000">
      <w:r>
        <w:t>The total wage bill of the Argenta Group is disclosed in the IFRS annual reports see Identified Staff The remuneration policy must provide for appropriate incentives in order to encourage prudent behaviour in those employees whose professional activities have a material impact on an institutions risk profile.</w:t>
      </w:r>
    </w:p>
    <w:p w14:paraId="134CBFC4" w14:textId="77777777" w:rsidR="00264FCF" w:rsidRDefault="00000000">
      <w:r>
        <w:t>The Board of Directors has ultimate responsibility for the process of appointing employees and the policy for doing so.</w:t>
      </w:r>
    </w:p>
    <w:p w14:paraId="0265893D" w14:textId="4E6894F2" w:rsidR="00264FCF" w:rsidRDefault="00000000">
      <w:r>
        <w:t xml:space="preserve">The competent management body in its supervisory </w:t>
      </w:r>
      <w:proofErr w:type="gramStart"/>
      <w:r>
        <w:t xml:space="preserve">function, </w:t>
      </w:r>
      <w:r w:rsidR="00987A31">
        <w:t xml:space="preserve"> </w:t>
      </w:r>
      <w:r>
        <w:t>Approves</w:t>
      </w:r>
      <w:proofErr w:type="gramEnd"/>
      <w:r>
        <w:t xml:space="preserve"> the appointment policy as part of the remuneration policy.</w:t>
      </w:r>
    </w:p>
    <w:p w14:paraId="3FFB5DF5" w14:textId="77777777" w:rsidR="00264FCF" w:rsidRDefault="00000000">
      <w:r>
        <w:t>The executive directors enjoy a fixed annual remuneration that does not contain any elements that could encourage the pursuit of short-term objectives that are inconsistent with the Argenta Groups long-term objectives.</w:t>
      </w:r>
    </w:p>
    <w:p w14:paraId="295053EA" w14:textId="77777777" w:rsidR="00264FCF" w:rsidRDefault="00000000">
      <w:r>
        <w:t>The fixed annual remuneration complies with the provisions of Annex 2 of the Banking Act on remuneration policy.</w:t>
      </w:r>
    </w:p>
    <w:p w14:paraId="09B01359" w14:textId="77777777" w:rsidR="00264FCF" w:rsidRDefault="00000000">
      <w:r>
        <w:t>For this the Committee examines the performance of the Boards of Directors and of the Executive Committees of the Argenta Group companies, as well as the performance of their individual members and prepares the succession plans in the two bodies.</w:t>
      </w:r>
    </w:p>
    <w:p w14:paraId="42E300EB" w14:textId="77777777" w:rsidR="00264FCF" w:rsidRDefault="00000000">
      <w:r>
        <w:t>That is why Argenta Group gives every employee equal opportunities, with the focus on talent regardless of gender, age, disability, belief, philosophy, marital status, birth, wealth, political opinion, trade union membership, language, health status, gender identity and expression, physical or genetic characteristics, social, cultural or ethnic origin.</w:t>
      </w:r>
    </w:p>
    <w:p w14:paraId="19A70B12" w14:textId="77777777" w:rsidR="00264FCF" w:rsidRDefault="00000000">
      <w:r>
        <w:t>Argenta head office staff Given of the healthy distribution between male and female employees and the good reflection of society in terms of age, Argenta Group does not apply specific gender or age targets.</w:t>
      </w:r>
    </w:p>
    <w:p w14:paraId="386060E5" w14:textId="77777777" w:rsidR="00264FCF" w:rsidRDefault="00000000">
      <w:r>
        <w:t>More information can be found in the respective subcategories of the Companys social balance sheet and its Activities and Sustainability Report.</w:t>
      </w:r>
    </w:p>
    <w:p w14:paraId="6472033C" w14:textId="77777777" w:rsidR="00264FCF" w:rsidRDefault="00000000">
      <w:r>
        <w:t xml:space="preserve">Directors external mandates Each director is encouraged to organise his personal and professional activities in such a way as to avoid conflicts of interest with the Argenta Group in line with Article 7, 96 CCA The Boards of Directors of the Argenta Group companies have in their internal rules of procedure established policies, including organisational and administrative arrangements including keeping information on its application, and </w:t>
      </w:r>
      <w:r>
        <w:lastRenderedPageBreak/>
        <w:t>procedures for identifying and preventing conflicts of interest or, where this is not reasonably possible, managing the conflicts of interest without harming the interests of customers.</w:t>
      </w:r>
    </w:p>
    <w:p w14:paraId="04F31108" w14:textId="77777777" w:rsidR="00264FCF" w:rsidRDefault="00000000">
      <w:r>
        <w:t>We focus on social issues such as equality, inclusion, accessibility and security.</w:t>
      </w:r>
    </w:p>
    <w:p w14:paraId="7BE11986" w14:textId="77777777" w:rsidR="00264FCF" w:rsidRDefault="00000000">
      <w:r>
        <w:t>Ethics and integrity as our guide, We want to look after our stakeholders in a thoroughly responsible manner by taking our responsibility in every branch of our management.</w:t>
      </w:r>
    </w:p>
    <w:p w14:paraId="059D1DAC" w14:textId="77777777" w:rsidR="00264FCF" w:rsidRDefault="00000000">
      <w:r>
        <w:t>The policy is established in the Executive Committee and ratified by the Board of Directors.</w:t>
      </w:r>
    </w:p>
    <w:p w14:paraId="778809DA" w14:textId="77777777" w:rsidR="00264FCF" w:rsidRDefault="00000000">
      <w:r>
        <w:t>The CSO is supported in the Marketing &amp; Sustainability department by a sustainability manager, who shares responsibility for implementing the policy and the sustainability plan across the different departments.</w:t>
      </w:r>
    </w:p>
    <w:p w14:paraId="38EEDD24" w14:textId="77777777" w:rsidR="00264FCF" w:rsidRDefault="00000000">
      <w:r>
        <w:t>Because sustainability is a topic that concerns every department, a centralised, company-wide approach was chosen as offering the best guarantee of success.</w:t>
      </w:r>
    </w:p>
    <w:p w14:paraId="3EA68BF7" w14:textId="77777777" w:rsidR="00264FCF" w:rsidRDefault="00000000">
      <w:r>
        <w:t>Argenta Groups aspiration is to reduce the carbon footprint of its lending and investment activities in line with the Paris emissions-reduction targets.</w:t>
      </w:r>
    </w:p>
    <w:p w14:paraId="16544D10" w14:textId="77777777" w:rsidR="00264FCF" w:rsidRDefault="00000000">
      <w:r>
        <w:t>It is essential to calculate emissions financed by greenhouse gases in order to measure our impact, define transition pathways and track our progress.</w:t>
      </w:r>
    </w:p>
    <w:p w14:paraId="3B1D197B" w14:textId="77777777" w:rsidR="00264FCF" w:rsidRDefault="00000000">
      <w:r>
        <w:t>A special task force has been set up for the development and implementation of methodologies to assess and disclose information on GHG-financed emissions scope 1, 2 and 3 emissions of the counterparty, in tonnes of CO2 equivalent, with the aim of publishing a report by 30 June 2024 as the first reference date for disclosure after the phasing-out period referred to in the EBAs Implementing Technical Standards on the disclosure of ESG information EBAITS202201.</w:t>
      </w:r>
    </w:p>
    <w:p w14:paraId="66676623" w14:textId="77777777" w:rsidR="00264FCF" w:rsidRDefault="00000000">
      <w:r>
        <w:t>The model for the transition paths relating to the mortgage loans is based on the approach developed by the CRREM Carbon Risk Real Estate Monitor.</w:t>
      </w:r>
    </w:p>
    <w:p w14:paraId="27C6407B" w14:textId="77777777" w:rsidR="00264FCF" w:rsidRDefault="00000000">
      <w:r>
        <w:t>The SBTi focuses on accelerating action by companies all over the world to halve their emissions by 2023 and achieve net zero emissions by 2050.</w:t>
      </w:r>
    </w:p>
    <w:p w14:paraId="7BA47A82" w14:textId="77777777" w:rsidR="00264FCF" w:rsidRDefault="00000000">
      <w:r>
        <w:t>As part of the methods for determining the goals, the SBTi offers emission reduction paths for a number of sectors which companies have to use in calculating their scientifically based targets.</w:t>
      </w:r>
    </w:p>
    <w:p w14:paraId="6FFCC688" w14:textId="77777777" w:rsidR="00264FCF" w:rsidRDefault="00000000">
      <w:r>
        <w:t>As a financial institution, and on the basis of its purpose and strategy, Argenta wants to contribute proactively to using the financial cash flows from both its customers and its own portfolios to help tackle the greatest challenge in the area of the climate and energy transition.</w:t>
      </w:r>
    </w:p>
    <w:p w14:paraId="4F59529B" w14:textId="77777777" w:rsidR="00264FCF" w:rsidRDefault="00000000">
      <w:r>
        <w:lastRenderedPageBreak/>
        <w:t>It will therefore be of great importance in the coming years to monitor investees and the reduction goals they propose as an essential component of monitoring and investigating the impact for favourable developments.</w:t>
      </w:r>
    </w:p>
    <w:p w14:paraId="30C2E03F" w14:textId="4B7EEA50" w:rsidR="00264FCF" w:rsidRDefault="00000000">
      <w:r>
        <w:t>The risk appetite framework has been further expanded in respect of climate risk metrics, for the retail mortgage portfolios by the average EPC energy performance certificate for production and portfolio, and for the non-retail portfolio by the carbon transition score and the environmental score.</w:t>
      </w:r>
    </w:p>
    <w:p w14:paraId="3F21A5DB" w14:textId="5EEFD9B9" w:rsidR="00264FCF" w:rsidRDefault="00000000">
      <w:r>
        <w:t>The risk appetite framework was further supplemented at the end of 2023 start of 2004 with physical climate risk metrics, with average percentages of acute flood risk for the retail mortgage portfolios.</w:t>
      </w:r>
    </w:p>
    <w:p w14:paraId="08E49BA7" w14:textId="77777777" w:rsidR="00264FCF" w:rsidRDefault="00000000">
      <w:r>
        <w:t>Template ESG5 gives an overview of the exposures which are subject to physical risks as a result of climate change.</w:t>
      </w:r>
    </w:p>
    <w:p w14:paraId="45340805" w14:textId="77777777" w:rsidR="00264FCF" w:rsidRDefault="00000000">
      <w:r>
        <w:t>It should be noted that the templates only include the turnover-based KPIs for the Climate Change Measurement and Climate Change Adaptation environmental targets.</w:t>
      </w:r>
    </w:p>
    <w:p w14:paraId="7824840D" w14:textId="77777777" w:rsidR="00264FCF" w:rsidRDefault="00000000">
      <w:r>
        <w:t>Argentas aspiration is to reduce the carbon footprint of its lending and investment activities in accordance with the reduction targets agreed in Paris by 2050.</w:t>
      </w:r>
    </w:p>
    <w:p w14:paraId="2BEAD791" w14:textId="77777777" w:rsidR="00264FCF" w:rsidRDefault="00000000">
      <w:r>
        <w:t>The concrete steps with which we want to have a targeted impact will be incorporated into the sustainability action plan for 2024-2027, which will be presented to the Board of Directors for validation in the first half of 2024.</w:t>
      </w:r>
    </w:p>
    <w:sectPr w:rsidR="00264F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399644697">
    <w:abstractNumId w:val="8"/>
  </w:num>
  <w:num w:numId="2" w16cid:durableId="1246039292">
    <w:abstractNumId w:val="6"/>
  </w:num>
  <w:num w:numId="3" w16cid:durableId="639270208">
    <w:abstractNumId w:val="5"/>
  </w:num>
  <w:num w:numId="4" w16cid:durableId="959148939">
    <w:abstractNumId w:val="4"/>
  </w:num>
  <w:num w:numId="5" w16cid:durableId="614950257">
    <w:abstractNumId w:val="7"/>
  </w:num>
  <w:num w:numId="6" w16cid:durableId="1052315403">
    <w:abstractNumId w:val="3"/>
  </w:num>
  <w:num w:numId="7" w16cid:durableId="2031948420">
    <w:abstractNumId w:val="2"/>
  </w:num>
  <w:num w:numId="8" w16cid:durableId="1666543285">
    <w:abstractNumId w:val="1"/>
  </w:num>
  <w:num w:numId="9" w16cid:durableId="1673528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929"/>
    <w:rsid w:val="0015074B"/>
    <w:rsid w:val="00264FCF"/>
    <w:rsid w:val="0029639D"/>
    <w:rsid w:val="00326F90"/>
    <w:rsid w:val="004F5755"/>
    <w:rsid w:val="00970664"/>
    <w:rsid w:val="00987A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7BA8B"/>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2468</Words>
  <Characters>14073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4</cp:revision>
  <dcterms:created xsi:type="dcterms:W3CDTF">2013-12-23T23:15:00Z</dcterms:created>
  <dcterms:modified xsi:type="dcterms:W3CDTF">2025-08-03T20:17:00Z</dcterms:modified>
  <cp:category/>
</cp:coreProperties>
</file>