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Integration of ESG considerations in the Risk Management Framework 84 IX.</w:t>
      </w:r>
    </w:p>
    <w:p>
      <w:r>
        <w:t>The deterioration of the threat landscape and the materialisation of internal and external fraud events have led to an increase in operational losses in 2023, which has triggered the need to strengthen the fraud risk management framework, including a review of the control environment from an end-to-end perspective.</w:t>
      </w:r>
    </w:p>
    <w:p>
      <w:r>
        <w:t>Since 2020, Belfius has been developing a general sustainability framework that provides the basis for a better framing and management of ESG risks.</w:t>
      </w:r>
    </w:p>
    <w:p>
      <w:r>
        <w:t>The high interest rate environment led to further model refinements and hedging strategy adjustments In the area of interest rate risk management, Belfius continued its interest rate strategy to hedge against rising interest rates and to adapt to a higher for longer interest rate environment.</w:t>
      </w:r>
    </w:p>
    <w:p>
      <w:r>
        <w:t>The IRRBB management and monitoring process was continuously improved during the year through refined and adjusted model assumptions and scenario thinking with continued focus on customer behavior in order to protect the future development of our economic value and earnings.</w:t>
      </w:r>
    </w:p>
    <w:p>
      <w:r>
        <w:t>Belfius maintains comfortable solvency and liquidity buffers Since several years, Belfius has decided to increase its liquidity buffer in context of phasing-out of the abundant liquidity on the market in order to maintain a prudent liquidity risk management.</w:t>
      </w:r>
    </w:p>
    <w:p>
      <w:r>
        <w:t>Strengthened focus on compliance Over the years, the compliance team has focused on continuously strengthening its framework in close cooperation with the business, with the same key compliance risks AMLCFT, regulatory scrutiny, and consumer protection remaining at the center of its work.</w:t>
      </w:r>
    </w:p>
    <w:p>
      <w:r>
        <w:t>Belfius compliance function has become a pioneer in the industry by rolling out AI for transaction monitoring and will continue to do so for sanctions screening and other domains, such as market abuse or MiFID, through a dedicated multi-year roadmap.</w:t>
      </w:r>
    </w:p>
    <w:p>
      <w:r>
        <w:t>This multi-year roadmap is a significant improvement in Belfius compliance risk management approach, enabling the compliance department to shift its focus on qualitative tasks and respond to risks faster and more efficiently.</w:t>
      </w:r>
    </w:p>
    <w:p>
      <w:r>
        <w:t>The success of this roadmap is a significant step towards maintaining alignment with Belfius low compliance risk appetite and growth ambition.</w:t>
      </w:r>
    </w:p>
    <w:p>
      <w:r>
        <w:t>A clear Risk Appetite has been defined and approved by the Board of Directors, expressing the level of risk that Belfius is prepared to take for the various types of risk credit risk, market risk, liquidity risk, non-financial risk… taking into account the expectations of the main stakeholders shareholders, creditors, regulators, rating agencies, customers and so on, in order to achieve the strategic and financial objectives.</w:t>
      </w:r>
    </w:p>
    <w:p>
      <w:r>
        <w:t>The process is supported by a detailed limit framework, a committee structure and a cascade of informationdecision briefings to risk management stakeholders, promoting an environment of open and constructive engagement.</w:t>
      </w:r>
    </w:p>
    <w:p>
      <w:r>
        <w:t>The mechanism ensures that risk appetite, risk management strategy, and business strategy are effectively aligned and embedded in decision-making and operations at appropriate levels.</w:t>
      </w:r>
    </w:p>
    <w:p>
      <w:r>
        <w:t>All risks are managed in accordance with the Group framework for risk management.</w:t>
      </w:r>
    </w:p>
    <w:p>
      <w:r>
        <w:t>In general, the Belfius risk management framework is based on the 3 Lines of Defence 3 LoDs model with a set of adequate and effective guidelines, policies and internal controls.</w:t>
      </w:r>
    </w:p>
    <w:p>
      <w:r>
        <w:t>Belfius Bank has consolidated risk data and systems supporting regulatory reporting and disclosures as well as regular or ad-hoc internal Risk management reporting.</w:t>
      </w:r>
    </w:p>
    <w:p>
      <w:r>
        <w:t>Regulatory framework The capital adequacy regulations consist of three pillars.</w:t>
      </w:r>
    </w:p>
    <w:p>
      <w:r>
        <w:t>Regulatory framework and Pillar 3 disclosure No exceptions have been applied for the publication of information considered proprietary or confidential.</w:t>
      </w:r>
    </w:p>
    <w:p>
      <w:r>
        <w:t>Risk management governance l 436 Scope of application I.</w:t>
      </w:r>
    </w:p>
    <w:p>
      <w:r>
        <w:t>Regulatory framework and Pillar III disclosure l 437 Own funds III.</w:t>
      </w:r>
    </w:p>
    <w:p>
      <w:r>
        <w:t>Regulatory framework and Pillar 3 disclosure Risk report annex reference table, qualitative templates Qualitative information has also been included in this Annex relating directly to the quantitative elements presented in order to facilitate their interpretation.</w:t>
      </w:r>
    </w:p>
    <w:p>
      <w:r>
        <w:t>The approved targets and limits are translated into risk management policies and guidelines, such as limits on authorisations and business activities.</w:t>
      </w:r>
    </w:p>
    <w:p>
      <w:r>
        <w:t>Three lines of defence model The Belfius risk management framework is based on the 3 Lines of Defence 3 LoDs model with a set of adapted and effective internal controls.</w:t>
      </w:r>
    </w:p>
    <w:p>
      <w:r>
        <w:t>Risk management governance 18 Risk report 2023 Belfius Bank II.</w:t>
      </w:r>
    </w:p>
    <w:p>
      <w:r>
        <w:t>The review documents the quality of the internal control and risk management and identifies weaknesses and needs for improvement.</w:t>
      </w:r>
    </w:p>
    <w:p>
      <w:r>
        <w:t>Risk management governance The RAF has been rolled-out in the subsidiaries to strengthen the conglomerate dimension, The subsidiaries RAFs are based on the RAF at group level, reflecting and monitoring their own financial and non-financial vulnerabilities and risks.</w:t>
      </w:r>
    </w:p>
    <w:p>
      <w:r>
        <w:t>This is done through the implementation of a detailed limit framework, a committee structure and a cascade of informationdecision briefings to all risk management stakeholders.</w:t>
      </w:r>
    </w:p>
    <w:p>
      <w:r>
        <w:t>Risk management governance strategy and long term resilience.</w:t>
      </w:r>
    </w:p>
    <w:p>
      <w:r>
        <w:t>As such, risk culture is about norms, ethics, behaviors, and judgements, playing an important role in guiding the actions and decisions taken by the management and employees within the group.</w:t>
      </w:r>
    </w:p>
    <w:p>
      <w:r>
        <w:t>It relates to risk awareness, risk-taking and risk management all within a strong risk governance and determines the collective ability to identify, understand, openly discuss, and act on the current and future risks.</w:t>
      </w:r>
    </w:p>
    <w:p>
      <w:r>
        <w:t>The risk culture is developed via multiple complementary processes trainings, messages from the CRO in the QRR, awareness campaigns and communications, the CORMs as risk culture ambassadors, a Risk Culture file on the intranet, permanent controls in the first lines, key indicators in the management contracts of the staff compliance, regulatory ratio, credit and market risks indicators, audit recommendations,….</w:t>
      </w:r>
    </w:p>
    <w:p>
      <w:r>
        <w:t>The policy establishes the overall process and the accountability of the parties involved in this process.</w:t>
      </w:r>
    </w:p>
    <w:p>
      <w:r>
        <w:t>The plan is fully integrated in Belfius Risk management framework.</w:t>
      </w:r>
    </w:p>
    <w:p>
      <w:r>
        <w:t>Risk committees which are steered by the Risk department focus mainly on risk appetite and methodology.</w:t>
      </w:r>
    </w:p>
    <w:p>
      <w:r>
        <w:t>Risk governance structure A performant risk governance structure is considered as a central cornerstone to sound risk management.</w:t>
      </w:r>
    </w:p>
    <w:p>
      <w:r>
        <w:t>Risk reporting to the Boards of Directors Belfius Risk Reporting is an essential part of the Risk Department responsibilities.</w:t>
      </w:r>
    </w:p>
    <w:p>
      <w:r>
        <w:t>The table on the next page shows the regular independent reports on risk and compliance sent to the Boards of Directors this does not include ad hoc or specific risk reportings.</w:t>
      </w:r>
    </w:p>
    <w:p>
      <w:r>
        <w:t>A policy and governance is installed to identify and report intragroup transactions that could be qualified as prudential arbitrage.</w:t>
      </w:r>
    </w:p>
    <w:p>
      <w:r>
        <w:t>General mission The mission and role of the Risk department is to oversee the implementation of a robust risk management framework which relies on, ●A sound governance, with well-defined roles &amp; responsibilities, reporting lines and escalation mechanisms.</w:t>
      </w:r>
    </w:p>
    <w:p>
      <w:r>
        <w:t>The Risk department has the responsibility to establish a set of risk policies and guidelines defining the risk governance and management including an adequate committee structure with clear and consistent assignment of responsibilities.</w:t>
      </w:r>
    </w:p>
    <w:p>
      <w:r>
        <w:t>The overall objective of the Risk department is to ensure that the Group strategy is in line with the sound risk management framework defined by the BoD.</w:t>
      </w:r>
    </w:p>
    <w:p>
      <w:r>
        <w:t>The Risk Department ensures the implementation of a sound, prudent and effective risk management, based on an extensive understanding of the existing and emerging risks.</w:t>
      </w:r>
    </w:p>
    <w:p>
      <w:r>
        <w:t>The review documents the quality of the internal control and risk management efforts and identifies any weaknesses and needs for improvement.</w:t>
      </w:r>
    </w:p>
    <w:p>
      <w:r>
        <w:t>AML year report Annual report by the AML Compliance Officer, on the AML governance, organization, project, activities and risks within Belfius.</w:t>
      </w:r>
    </w:p>
    <w:p>
      <w:r>
        <w:t>It tackles amongst other the risk management framework of each subsidiary.</w:t>
      </w:r>
    </w:p>
    <w:p>
      <w:r>
        <w:t>They use similar andor common tools ensuring consistency and enabling coherence as well as an integrated management of risks and internal controls, Risk Appetite Framework, defined and validated group wide by Belfius Bank and cascaded down to subsidiaries.</w:t>
      </w:r>
    </w:p>
    <w:p>
      <w:r>
        <w:t>The overall objective is to have a risk management coordination at conglomerate level, ensuring consistency while respecting the entities specificities, responsibilities and legal regulatory obligations.</w:t>
      </w:r>
    </w:p>
    <w:p>
      <w:r>
        <w:t>The main pillars of this risk management are an appropriate risk governance structure, a robust and aligned risk framework, risk monitoring and decisiontaking process.</w:t>
      </w:r>
    </w:p>
    <w:p>
      <w:r>
        <w:t>More information regarding the risk governance of Belfius Insurance can be found in the Annual Report of Belfius Insurance, chapter Risk management.</w:t>
      </w:r>
    </w:p>
    <w:p>
      <w:r>
        <w:t>Validation also plays an important role in the assessmentscommunication of the strengths and weaknesses of models to help all stakeholders to improve their understanding and use.</w:t>
      </w:r>
    </w:p>
    <w:p>
      <w:r>
        <w:t>CRO corporate office A CRO corporate office has been created in 2021 with the objective of supporting the CRO and her teams in the journey towards a more efficient and more holistic risk management.</w:t>
      </w:r>
    </w:p>
    <w:p>
      <w:r>
        <w:t>Its responsibilities namely entail the following, ●Ensure an effective Risk &amp; Compliance organisation with clear objectives and ambitions.</w:t>
      </w:r>
    </w:p>
    <w:p>
      <w:r>
        <w:t>Other risks than those included in the Pillar 1 framework are specifically included in the Belfius Pillar 2 framework i.</w:t>
      </w:r>
    </w:p>
    <w:p>
      <w:r>
        <w:t>Settlement risk, residualrecovery risk, interest rate risk Structural Market and ALM Risk, currency risk Structural Market and ALM Risk, funding risk Structural Market and ALM Risk, liquidity risk, behavioural risk, insurance specific risks, pension plan risk, business risk, strategic risk, execution risk, compliance risk, reputation risk, external risk and legal risk.</w:t>
      </w:r>
    </w:p>
    <w:p>
      <w:r>
        <w:t>Its main objective is to provide effective risk management oversight and steering of the Financial Markets activities.</w:t>
      </w:r>
    </w:p>
    <w:p>
      <w:r>
        <w:t>The second line of controls is performed by the ALM and Liquidity Risk team, falling under the Chief Risk Officer responsibility, consisting in establishing the risk and control frameworks overseeing the first line of defence, ensuring thereby that risk management and control processes are properly designed and effectively operating.</w:t>
      </w:r>
    </w:p>
    <w:p>
      <w:r>
        <w:t>Next to all afore-mentioned committees, Belfius also disposes of a set of, ●credit risk committees whose core mission is to provide an effective credit management oversight and steering regarding all business segments.</w:t>
      </w:r>
    </w:p>
    <w:p>
      <w:r>
        <w:t>Risk management governance 30 Risk report 2023 Belfius Bank II.</w:t>
      </w:r>
    </w:p>
    <w:p>
      <w:r>
        <w:t>For more detailed information on Non-financial risks risk management framework and governance, please refer to Chapter VII of the Risk Report.</w:t>
      </w:r>
    </w:p>
    <w:p>
      <w:r>
        <w:t>At executive management level, a Strategic Sustainability Committee has been created which operates as a central hub of the operational ESG governance.</w:t>
      </w:r>
    </w:p>
    <w:p>
      <w:r>
        <w:t>This CET1 ratio represents a continued strong and solid level, allowing Belfius to support its strong commercial franchise development.</w:t>
      </w:r>
    </w:p>
    <w:p>
      <w:r>
        <w:t>Further to these regulatory requirements, Belfius stated in its Risk Appetite Framework that, in normal market circumstances and under stable regulations, it would strive to respect a minimum operational CET 1 ratio of 13.</w:t>
      </w:r>
    </w:p>
    <w:p>
      <w:r>
        <w:t>The increase of EUR 87 million was mainly related to the increase of EUR 87 million of the regulatory value of existing Tier 2 capital instruments, the issuance of EUR 500 million Tier 2 notes and the calls of EUR 267 million Tier 2 notes in 2023.</w:t>
      </w:r>
    </w:p>
    <w:p>
      <w:r>
        <w:t>The leverage ratio as defined in the CRR 2 is further an integrated part of the Risk Appetite Framework for which internal limits and targets are set and which is validated by the Board of Directors.</w:t>
      </w:r>
    </w:p>
    <w:p>
      <w:r>
        <w:t>They reflect also the risk culture eg ethics, tax, compliance, fraud, ….</w:t>
      </w:r>
    </w:p>
    <w:p>
      <w:r>
        <w:t>This framework is based on a mix of accounting ratios gearing, regulatory ratios solvency, liquidity, economic ratios economic capital, earnings at risk and internal KRIs.</w:t>
      </w:r>
    </w:p>
    <w:p>
      <w:r>
        <w:t>Limits have been defined for each of these ratios with different zones, which lead to different governance and measures in case of breach.</w:t>
      </w:r>
    </w:p>
    <w:p>
      <w:r>
        <w:t>As each year, the Risk Appetite Framework has been updated and approved by the Board of Directors in December 2023.</w:t>
      </w:r>
    </w:p>
    <w:p>
      <w:r>
        <w:t>In December 2023, Belfius successfully conducted a second resolution dry-run exercise to test governance, communication as well as the IT capacity to produce the bail-in datapoints, as bail-in is the preferred resolution strategy.</w:t>
      </w:r>
    </w:p>
    <w:p>
      <w:r>
        <w:t>The EBA EU-wide stress test that took place in 2023 confirmed Belfius anticipative risk management, as key cornerstone of the strategy.</w:t>
      </w:r>
    </w:p>
    <w:p>
      <w:r>
        <w:t>The Covid-19 related measures and inflation impacts on the financial stability of public sector entities including hospitals is causing higher deficits and a rising government debt while next challenges such as energy transition, climate adaptation and infrastructure needs are in the middle of the public debate.</w:t>
      </w:r>
    </w:p>
    <w:p>
      <w:r>
        <w:t>A new regulatory price framework coming into force in 2025 will be crucial for the sectors future evolution.</w:t>
      </w:r>
    </w:p>
    <w:p>
      <w:r>
        <w:t>On a quarterly basis, dedicated Risk Committees identify the files requiring a higher level of monitoring.</w:t>
      </w:r>
    </w:p>
    <w:p>
      <w:r>
        <w:t>With respect to the interest rate risk, Belfius Bank pursues a prudent risk management of its interest rate positions in the banking book within a well-defined internal and regulatory limit framework, with a clear focus on generating stable earnings and preserving the economic value of the balance sheet macro-hedging approach thoughtfully considering natural hedges available in the bank balance sheet.</w:t>
      </w:r>
    </w:p>
    <w:p>
      <w:r>
        <w:t>Also, in anticipation of a downward interest rate trend, our Risk Management is proactively challenging our strategy aiming to maintain both the economic value and the enduring profitability of our operations.</w:t>
      </w:r>
    </w:p>
    <w:p>
      <w:r>
        <w:t>The more recent significant flattening movement, characterized by expectations of cuts in key interest rates shows the need to keep exercising significant caution to protect our economic value and earnings on the long run and the importance from a risk management point of view to rely on scenario-thinking approaches.</w:t>
      </w:r>
    </w:p>
    <w:p>
      <w:r>
        <w:t>Nevertheless and in summary, the uncertain evolution of interest rates, the fierce competition in pricing of loans and liabilities among peers, future potential new competitors ex, future EURO digital currency and change of clients behaviors are key components being deeply challenged in our interest rate risk management framework.</w:t>
      </w:r>
    </w:p>
    <w:p>
      <w:r>
        <w:t>Discrepancies between full eval and sensitivities as well as effect of non-material risk factors is analyzed in the regulatory Risks Not In Model framework in order to ensure that their individual and global effect remain low.</w:t>
      </w:r>
    </w:p>
    <w:p>
      <w:r>
        <w:t>The process set up to endorse the validation of models deployed within Belfius Bank is multi-layered, ensuring compliance with regulatory requirements.</w:t>
      </w:r>
    </w:p>
    <w:p>
      <w:r>
        <w:t>This sound management has enabled Belfius to maintain comfortable liquidity position with a buffer of EUR 45 billion, a LCR of 139% well above the regulatory requirement of 100% and a loan-to-deposit ratio of 93% at the end of 2023.</w:t>
      </w:r>
    </w:p>
    <w:p>
      <w:r>
        <w:t>In light of increasing interest rates, risk management has focused on maintaining a well-balanced balance sheet as, on the one hand, a change of clients behaviour has been observed with stronger preference for more profitable products, leading, consequently, to the need to closely manage and anticipate transfers from non-maturing deposits to fixed-terms products, while, on the other hand, keeping a strong commercial dynamic on all segments on the asset side.</w:t>
      </w:r>
    </w:p>
    <w:p>
      <w:r>
        <w:t>In this new liquidity environment, and in line with its strategic goals of business growth and compliance with regulatory liquidity requirements, Belfius has effectively secured EUR 2.</w:t>
      </w:r>
    </w:p>
    <w:p>
      <w:r>
        <w:t>In terms of the risk measurement, Belfius relies on a close monitoring of a set of regulatory and internal liquidity risk metrics as part of its Risk Appetite Framework defined with the following main objective, Belfius wants to maintain at all times sufficient liquidity even after severe but plausible stress.</w:t>
      </w:r>
    </w:p>
    <w:p>
      <w:r>
        <w:t>This buffer combined with a set of predefined recovery measures ensures that Belfius will respect regulatory minima even under stress conditions.</w:t>
      </w:r>
    </w:p>
    <w:p>
      <w:r>
        <w:t>In 2023, in line with its strategic goals of business growth and compliance with regulatory liquidity requirements, Belfius Bank effectively secured EUR 2.</w:t>
      </w:r>
    </w:p>
    <w:p>
      <w:r>
        <w:t>Overall, Belfius strategy in terms of liquidity risk management is to be a bank with a low risk profile by maintaining a conservative level of buffers and a diversified funding mix.</w:t>
      </w:r>
    </w:p>
    <w:p>
      <w:r>
        <w:t>Belfius ambitious strategy 2020-2025 reinforces the emergence of the different types of non-financial risks, requiring a continuous reinforcement of the NFR Risk Framework, including the enhancement of the internal controls.</w:t>
      </w:r>
    </w:p>
    <w:p>
      <w:r>
        <w:t>In 2023, the focus was on starting the implementation of a new GRC Governance, Risk management, Compliance platform, continuing the reinforcement of our framework landscape third-party risk, Schrems2 compliancy, NPAP etc.</w:t>
      </w:r>
    </w:p>
    <w:p>
      <w:r>
        <w:t>Throughout the years, key compliance risks remain financial crime, consumer protection and regulatory scrutiny.</w:t>
      </w:r>
    </w:p>
    <w:p>
      <w:r>
        <w:t>Similarly to NFR, the compliance framework has been strengthened to successfully manage the risk in line with the banks low risk appetite.</w:t>
      </w:r>
    </w:p>
    <w:p>
      <w:r>
        <w:t>It will leverage on the acquired expertise to expand AI to cover other key compliance risks in the future via a dedicated roadmap.</w:t>
      </w:r>
    </w:p>
    <w:p>
      <w:r>
        <w:t>Fundamentals of Non-Financial Risks in 2023 In recent years, there has been an increase in non-financial risks due to external threats such as cyber, fraud, outsourcing, IT, climate, and geopolitical factors in a VUCA world.</w:t>
      </w:r>
    </w:p>
    <w:p>
      <w:r>
        <w:t>Belfius ambitious strategy 2020-2025 reinforces the emergence of different types of non-financial risks, requiring a reinforcement of the NFR Risk Framework, including internal controls.</w:t>
      </w:r>
    </w:p>
    <w:p>
      <w:r>
        <w:t>In this context, the Permanent Control functions are playing a leading role in the 1st LoD risk management by ensuring that risks are correctly identified and that internal controls are well designed and effective.</w:t>
      </w:r>
    </w:p>
    <w:p>
      <w:r>
        <w:t>In 2023, we continued to focus NFR efforts to the new external challenges and recent developments we faced as well as to the expectations of the regulator in order to stay up to date and ensure sound non-financial risk management.</w:t>
      </w:r>
    </w:p>
    <w:p>
      <w:r>
        <w:t>The integration of Investigation and Audit Branch within the NFR department has resulted in new synergies towards a more holistic and integrated risk management.</w:t>
      </w:r>
    </w:p>
    <w:p>
      <w:r>
        <w:t>Non-Financial Risk This framework provides a comprehensive risk management and sound risk governance, to ensure an effective and efficient identification, assessment, mitigation and monitoring of non-financial risks.</w:t>
      </w:r>
    </w:p>
    <w:p>
      <w:r>
        <w:t>In this context, a Project Risk Management framework aims at correctly and timely identifying risks and implement the necessary controls and mitigating plans following a risk-based approach.</w:t>
      </w:r>
    </w:p>
    <w:p>
      <w:r>
        <w:t>This framework has been applied to strategic programs and their sub-projects, and the outcomes have been integrated into the Strategic Project Reporting presented to the Board of Directors.</w:t>
      </w:r>
    </w:p>
    <w:p>
      <w:r>
        <w:t>This led to ●the implementation of an adapted governance framework with specialized panels to ensure a more comprehensive fraud risk management approach, and to ●a strengthening of internal control investments and initiatives against fraud.</w:t>
      </w:r>
    </w:p>
    <w:p>
      <w:r>
        <w:t>Non-Financial Risk Management Framework Non-Financial Risk must be understood as a broad umbrella covering all risks except financial risks the latter encompassing market, ALM, liquidity, credit, and insurance risks.</w:t>
      </w:r>
    </w:p>
    <w:p>
      <w:r>
        <w:t>Branch Audit also formulates advices in order to improve the functioning of the internal control system within these distribution channels.</w:t>
      </w:r>
    </w:p>
    <w:p>
      <w:r>
        <w:t>A dedicated steering risk committee ensures a well governed and coordinated outsourcing strategy in line with Belfius strategy, risk appetite and regulatory requirements.</w:t>
      </w:r>
    </w:p>
    <w:p>
      <w:r>
        <w:t>The framework has been recently thoroughly revised, including a new target operating model and an extended coverage for all third parties vendors, suppliers, partners, etc, which will further ensure their life-cycle risk management from engagement to termination, based on a new risk-based approach.</w:t>
      </w:r>
    </w:p>
    <w:p>
      <w:r>
        <w:t>Self-Assessment of Risks and Internal Controls Another important task of risk management is the analysis of the overall main potential risks and related key controls, performed within Belfius Groups main entities.</w:t>
      </w:r>
    </w:p>
    <w:p>
      <w:r>
        <w:t>This is achieved through a bottom-up self-assessment of risks and internal controls in all departments and subsidiaries, using the COSO methodology to determine the internal control level.</w:t>
      </w:r>
    </w:p>
    <w:p>
      <w:r>
        <w:t>These exercises may result in the development of additional action plans to further reduce potential risks.</w:t>
      </w:r>
    </w:p>
    <w:p>
      <w:r>
        <w:t>With the integration of Investigation &amp; Branch Audit with NFR, a step towards a more holistic approach towards prevention, detection and remediation of fraud risk management has been taken.</w:t>
      </w:r>
    </w:p>
    <w:p>
      <w:r>
        <w:t>Data privacy management Data privacy Respect for privacy and customer satisfaction The respect for privacy and the protection of personal data is a key commitment at Belfius, which is translated into a sound internal governance and principles to be followed in the respect of GDPR.</w:t>
      </w:r>
    </w:p>
    <w:p>
      <w:r>
        <w:t>To continuous ensure data privacy within Belfius, the Privacy Committee related to GDPR meets regularly.</w:t>
      </w:r>
    </w:p>
    <w:p>
      <w:r>
        <w:t>NFR domain Risk culture &amp; governance Risk appetite The formal definition of a Risk Appetite Framework is the key reference for the group Risk Management practice covering both financial and non-financial risks.</w:t>
      </w:r>
    </w:p>
    <w:p>
      <w:r>
        <w:t>NFR domain Operational resilience Business continuity &amp; crisis management Belfius is committed towards clients, counterparties and regulators to establish, maintain, and test viable alternative plans that, in the event of an incident, enable the continuation or resumption of critical business activities at the agreed operational level and in compliance with Belgian regulations.</w:t>
      </w:r>
    </w:p>
    <w:p>
      <w:r>
        <w:t>In this regard, a dedicated risk committee systematically monitors the overall situation, especially in case of potential incident.</w:t>
      </w:r>
    </w:p>
    <w:p>
      <w:r>
        <w:t>Non-Financial Risk The reputation strategy aims to implement sound, prudent and effective risk management and is based on three pillars, ●prevention, transparency regarding the reputation risk governance, combined with well-defined processes, guidelines and procedures, mainly to identify sources of reputation risk.</w:t>
      </w:r>
    </w:p>
    <w:p>
      <w:r>
        <w:t>The key internal control actors, i.</w:t>
      </w:r>
    </w:p>
    <w:p>
      <w:r>
        <w:t>The Brand, Experience and Communication department, the Risk department, and all business departments, have set up appropriate risk management frameworks and policies to prevent, detect and monitor potential reputation impacts.</w:t>
      </w:r>
    </w:p>
    <w:p>
      <w:r>
        <w:t>Capitalisation The risk is not capitalised and is managed through strong corporate governance and compliance rules within Belfius as described above.</w:t>
      </w:r>
    </w:p>
    <w:p>
      <w:r>
        <w:t>Belfius Bank traces out the group policy and defines the Compliance methodology to be used.</w:t>
      </w:r>
    </w:p>
    <w:p>
      <w:r>
        <w:t>Each regulated subsidiary company has a Compliance Officer who is responsible for the application of the transposed policy within hisher company.</w:t>
      </w:r>
    </w:p>
    <w:p>
      <w:r>
        <w:t>Capitalisation The lack of sufficient data and history to support a statistically robust quantification process is the primary reason why Compliance risk cannot be covered by capital.</w:t>
      </w:r>
    </w:p>
    <w:p>
      <w:r>
        <w:t>Compliance risk Definition Compliance risk is associated to any financial institutions failure to comply with laws, regulations, rules, internal policies or prescribed best practices that can result in financial sanctions or loss of reputation.</w:t>
      </w:r>
    </w:p>
    <w:p>
      <w:r>
        <w:t>Organisation and management of the Risk Compliance is organised around a central Compliance department based on 3 pillars, ●Business Advisors advisory function,, responsible for the preventive framework, including the regulatory watch, advises e.</w:t>
      </w:r>
    </w:p>
    <w:p>
      <w:r>
        <w:t>To the business or for new products or services, and general trainings.</w:t>
      </w:r>
    </w:p>
    <w:p>
      <w:r>
        <w:t>They are responsible for all compliance domains except AML.</w:t>
      </w:r>
    </w:p>
    <w:p>
      <w:r>
        <w:t>They play an important role, particularly in the introduction of Compliance policy and procedures as well as in the training and awareness programs.</w:t>
      </w:r>
    </w:p>
    <w:p>
      <w:r>
        <w:t>Legal risk Definition Legal risk results from the following risks, Risks relating to the regulatory framework, ●non-compliance with the regulatory framework, the risk of not applying, in whole or in part, applicable laws and regulations.</w:t>
      </w:r>
    </w:p>
    <w:p>
      <w:r>
        <w:t>Accordingly, ESG risks have been identified by Belfius as one of the top risks for a few years now and are being gradually embedded in the risk management framework.</w:t>
      </w:r>
    </w:p>
    <w:p>
      <w:r>
        <w:t>ESG Risk Management Definition of ESG risks ESG risks are the risks of any negative financial impact on an entity, sovereign or individual stemming from current or prospective impacts of Environmental, Social or Governance factors on its financial performance or solvency.</w:t>
      </w:r>
    </w:p>
    <w:p>
      <w:r>
        <w:t>Please refer to Belfius Sustainability Report for more information regarding generic sustainability matters including Belfius ESG strategy, corporate governance and climate actions as this section of the Risk Report focusses primarily on ESG risks and their management.</w:t>
      </w:r>
    </w:p>
    <w:p>
      <w:r>
        <w:t>Climate risk drivers include acute or chronic weather events physical risks but also policy, technological and behavioural changes transition risks.</w:t>
      </w:r>
    </w:p>
    <w:p>
      <w:r>
        <w:t>There is no doubt those issues will have a significant and lasting impact on the economic growth and prosperity as evidenced by the World Economic Forums Reports, , that have consistently identified climate change impacts amongst the top short-term global risks over the past three years.</w:t>
      </w:r>
    </w:p>
    <w:p>
      <w:r>
        <w:t>Environmental, Pillar E usually includes topics relating to greenhouse gas emissions, use of natural resources, impact on biodiversity, waste, pollution,… Social, Pillar S usually includes topics relating to human rights, workforce, impact on community, product responsibility, employee training,… Governance, Pillar G usually includes topics relating to management, stakeholders engagement, compliance, ethical behaviour,… Considering the urgency for action to avoid climate tipping points and regulatory scrutiny, Belfius decided to first focus on climate-related issues.</w:t>
      </w:r>
    </w:p>
    <w:p>
      <w:r>
        <w:t>For sound implementation of its business strategy, Belfius looks into risks and opportunities including environmental and climate-related C&amp;E risks that are already material or will become material in the future.</w:t>
      </w:r>
    </w:p>
    <w:p>
      <w:r>
        <w:t>Using the necessary and available standards and frameworks, Belfius wishes to identify risks and opportunities that are material from both financial materiality perspective and impact materiality perspective to ensure its long term profitability and value creation for all stakeholders.</w:t>
      </w:r>
    </w:p>
    <w:p>
      <w:r>
        <w:t>Accordingly, Belfius ESG Action Plan was reviewed in March 2023 to accelerate the process towards full integration of ESG into day-to-day risk management activities and practices.</w:t>
      </w:r>
    </w:p>
    <w:p>
      <w:r>
        <w:t>Overview of main achievements Year 2021 ●Belfius designs its ECB ESG Action Plan aimed at aligning its practices with the expectations set by the ECB in its Guide on climate-related and environmental risks.</w:t>
      </w:r>
    </w:p>
    <w:p>
      <w:r>
        <w:t>Belfius ESG Strategy and Framework All three components of sustainability i.</w:t>
      </w:r>
    </w:p>
    <w:p>
      <w:r>
        <w:t>Environmental, Social and Governance are at the core of Belfius mission and vision i.</w:t>
      </w:r>
    </w:p>
    <w:p>
      <w:r>
        <w:t>Being meaningful and inspiring for Belgian society.</w:t>
      </w:r>
    </w:p>
    <w:p>
      <w:r>
        <w:t>Since 2020, Belfius started developing a general sustainability framework that sets the foundation for better framing and management of ESG risks.</w:t>
      </w:r>
    </w:p>
    <w:p>
      <w:r>
        <w:t>In 2021, Belfius moved forward with the design of an ambitious ESG action plan aimed at aligning its practices and plans with the expectations set by the ECB in its Guide on climate-related and environmental risks published in 2020 the so-called ECB ESG action plan, which was updated in 2023.</w:t>
      </w:r>
    </w:p>
    <w:p>
      <w:r>
        <w:t>Climate and Environmental C&amp;E risks have also become an increasingly central focus of the European Central Banks supervisory agenda and the European Banking Authoritys Sustainable Finance Roadmap.</w:t>
      </w:r>
    </w:p>
    <w:p>
      <w:r>
        <w:t>Since the publication of its guide on C&amp;E risks, the ECB has undertaken various actions such as requiring banks to submit action plans to ensure a full alignment with the supervisory expectations outlined in the guide, conducting a supervisory stress test exercise focusing on climate-related risks and performing a thematic review to assess the adequacy, Climate-related and environmental risks a vital part of the ECBs supervisory agenda to keep banks safe and sound europa.</w:t>
      </w:r>
    </w:p>
    <w:p>
      <w:r>
        <w:t>Running up that hill how climate-related and environmental risks turned mainstream in banking supervision and next steps for banks risk management practices europa.</w:t>
      </w:r>
    </w:p>
    <w:p>
      <w:r>
        <w:t>Integration of ESG considerations in the Risk Management Framework VIII.</w:t>
      </w:r>
    </w:p>
    <w:p>
      <w:r>
        <w:t>At executive management level, a Strategic Sustainability Committee has been created which operates as a central hub of the operational ESG governance.</w:t>
      </w:r>
    </w:p>
    <w:p>
      <w:r>
        <w:t>As a result, ESG considerations have become an increasingly integral part of Belfius risk management framework.</w:t>
      </w:r>
    </w:p>
    <w:p>
      <w:r>
        <w:t>While sustainability has been integral part of the Belfius Inspire 2025 strategy, Belfius conducted awareness raising exercises for that first line of defence through the Self-Assessment of Risks and Internal Controls annual process, Risk Identification and Cartography Assessment Process , the New Product Approval Process adjustment and a variety of webinars.</w:t>
      </w:r>
    </w:p>
    <w:p>
      <w:r>
        <w:t>Its role encompasses among others, ●providing general advice on climate-related strategy and recommendations on key risk indicators KRIs, limits, and mitigation actions.</w:t>
      </w:r>
    </w:p>
    <w:p>
      <w:r>
        <w:t>Each specialized risk team is responsible for the timely execution of the actions assigned to it, to meet the ECBs requirements on climate as well as to fully embed ESG risks in its day-to-day activities.</w:t>
      </w:r>
    </w:p>
    <w:p>
      <w:r>
        <w:t>The legal and compliance departments also closely monitor legislative and regulatory requirements and ensure Belfius is compliant with all of them.</w:t>
      </w:r>
    </w:p>
    <w:p>
      <w:r>
        <w:t>The goal of these reviews is to assess Belfius overall level of readiness, compliance and performance, as well as the comprehensiveness and effectiveness of its practices.</w:t>
      </w:r>
    </w:p>
    <w:p>
      <w:r>
        <w:t>Therefore, Belfius applies a flexible and gradual approach to tackle these challenges and is expecting further clarity on rapidly evolving regulatory expectations.</w:t>
      </w:r>
    </w:p>
    <w:p>
      <w:r>
        <w:t>The outcome of these identification exercises helps Belfius prioritize actions while feeding its business and sustainability strategy.</w:t>
      </w:r>
    </w:p>
    <w:p>
      <w:r>
        <w:t>Comprehensive climate and environmental risks materiality assessment The potential impact of C&amp;E risks on the banks risk profile was further assessed in 2023.</w:t>
      </w:r>
    </w:p>
    <w:p>
      <w:r>
        <w:t>It was performed with the support of external climate experts and internal banking experts and included both quantitative and qualitative approaches.</w:t>
      </w:r>
    </w:p>
    <w:p>
      <w:r>
        <w:t>ESG Risk Management Framework This framework outlines how ESG risks are identified, assessed, quantified, mitigated, monitored and reported.</w:t>
      </w:r>
    </w:p>
    <w:p>
      <w:r>
        <w:t>It complements other existing frameworks and policies, including the Belfius ESG Framework, the Climate and Environmental Policy, the Human Rights Policy and the Transition Acceleration Policy all published externally.</w:t>
      </w:r>
    </w:p>
    <w:p>
      <w:r>
        <w:t>The framework recalls Belfius objective to be a responsible banker, investor and insurer and play a leading role towards the transition to a low-carbon, inclusive and environmentally sustainable economy .</w:t>
      </w:r>
    </w:p>
    <w:p>
      <w:r>
        <w:t>ESG Risk Management Conclusions in risk types affected The conclusion from this materiality assessment is that climate and environmental factors are expected to impact Belfius across various dimensions, credit risk is expected to be the most impacted risk category, followed by strategic and business risk and non-financial risk.</w:t>
      </w:r>
    </w:p>
    <w:p>
      <w:r>
        <w:t>ESG Risk Management Belfius has also significantly strengthened its approach regarding its suppliers with the integration of ESG criteria in its Procurement Policy, Procedures and General Termes and Conditions e.</w:t>
      </w:r>
    </w:p>
    <w:p>
      <w:r>
        <w:t>Professional, scientiﬁc, technique, 11% ● Financial &amp; insurance, 6% ● Services, 4% ● Other non climate sensitive, 8% ● Human &amp; social, 12% ● Other climate sensitive, 3% ● ● Construction, 12% ● Transport, 4% ● Real estate activities, 14% ● Wholesale &amp; retail, 14% ● Manufacturing, 9% ● Electricity &amp; gas, 4% Climate sensitive 59% of loans to NFC 23% of total loans Climate-sensitive sectors NFC Conclusions on time dimension From a timing perspective, Belfius identified a risk of increasing climate and environmental risks over longer horizons, especially for physical risks.</w:t>
      </w:r>
    </w:p>
    <w:p>
      <w:r>
        <w:t>Deep dive on operational risks For several years, attention has been dedicated to the impact of climate-related risks on Belfius operational resilience.</w:t>
      </w:r>
    </w:p>
    <w:p>
      <w:r>
        <w:t>ESG Risk Management Using the Climate Risk Assessment and Simulation Tool for Mortgages, an analysis to assess the physical flood risks of Belfius mortgage portfolios was conducted.</w:t>
      </w:r>
    </w:p>
    <w:p>
      <w:r>
        <w:t>ESG Risk Management Consequently, Belfius uses a bottom-up approach that is complementary to the top-down approach in order to assess the risks.</w:t>
      </w:r>
    </w:p>
    <w:p>
      <w:r>
        <w:t>The tool factors in a range of qualitative and quantitative ESG indicators relating, amongst others, to GHG emissions, energy consumption, workforce and supply chain management, diversity and equality, governance bodies and business ethics.</w:t>
      </w:r>
    </w:p>
    <w:p>
      <w:r>
        <w:t>The considered transition policies focus on minimum EPC requirements and mandatory energy renovations set by Belgian regional authorities within the framework of the decarbonization trajectory described in the Belgian regional climate plans.</w:t>
      </w:r>
    </w:p>
    <w:p>
      <w:r>
        <w:t>While Belfius is committed to reinforcing its actions to tackle this challenge and is developing innovative solutions to help its customers in their renovation journey, further support measures from public authorities will be instrumental in addressing this issue to allowing a fair socially inclusive transition to take place.</w:t>
      </w:r>
    </w:p>
    <w:p>
      <w:r>
        <w:t>ESG Risk Management For residential real estate assets where Belfius lacks EPC data, a workaround was set via a proxy tool provided by a third party that estimates energy efficiency based on the propertys address and other known characteristics, such as the year of construction or the surface measurement.</w:t>
      </w:r>
    </w:p>
    <w:p>
      <w:r>
        <w:t>Monitoring and reporting of ESG risks In order to properly monitor C&amp;E risks, Belfius is in the process of setting up an ESG Risk Dashboard to support strategic objectives and ensure the institutions global resilience e.</w:t>
      </w:r>
    </w:p>
    <w:p>
      <w:r>
        <w:t>Decisions on limits at individual or portfolio-level, TAP adjustments etc.</w:t>
      </w:r>
    </w:p>
    <w:p>
      <w:r>
        <w:t>Indeed, the questionnaire used to capture the relevant data serves as a basis for engaging more deeply with clients to better understand where they stand, what their key issues are, how they plan to transition to a low carbon economy and how Belfius can support them to this end.</w:t>
      </w:r>
    </w:p>
    <w:p>
      <w:r>
        <w:t>The evolution of ESG scores over time will indicate to what extent customers are improving their performance and practices and adhering to the transition to a low-carbon economy.</w:t>
      </w:r>
    </w:p>
    <w:p>
      <w:r>
        <w:t>Other sustainability related commitments and targets are also monitored on a regular basis throughout the year.</w:t>
      </w:r>
    </w:p>
    <w:p>
      <w:r>
        <w:t>A summary KPI dashboard that includes key performance indicators relating, amongst others, to commercial KPIs for meaningful investing, insurance and financing offerings is reported half-yearly to the Board of directors.</w:t>
      </w:r>
    </w:p>
    <w:p>
      <w:r>
        <w:t>Further, relevant teams e.</w:t>
      </w:r>
    </w:p>
    <w:p>
      <w:r>
        <w:t>Legal, risk, ESG central team monitor environmental and climate-related regulatory risks on quarterly basis to ensure the full compliance with the related regulations.</w:t>
      </w:r>
    </w:p>
    <w:p>
      <w:r>
        <w:t>Financing limitations with the Transition Acceleration Policy The TAP serves as a risk management tool for the entire group by excluding or restricting the financing of activities deemed non sustainable, enabling Belfius to lower its exposure to those activities, that present increased financial and reputational risks.</w:t>
      </w:r>
    </w:p>
    <w:p>
      <w:r>
        <w:t>Financing limits with the Risk Appetite Framework The Belfius Risk Appetite Framework , which already included social and governance key risk indicators, is gradually enhanced year on year with a revision of ESG-related qualitative statements and the inclusion of additional ESG quantitative risk indicators.</w:t>
      </w:r>
    </w:p>
    <w:p>
      <w:r>
        <w:t>ESG Risk Management 94 Belfius Bank Targets set on a one year horizon, are revised on a yearly basis and are expected to become stricter over time so as to meet long term objectives.</w:t>
      </w:r>
    </w:p>
    <w:p>
      <w:r>
        <w:t>The advice of all relevant stakeholders is consolidated in the NPAP advice of the NPAP Committee, which consists of compliance, legal and non-financial risk representatives.</w:t>
      </w:r>
    </w:p>
    <w:p>
      <w:r>
        <w:t>Other measures Climate and sustainability dimensions are gradually included into business practices for all Group activities, leading to certain climate risk mitigation by design such as the ESG score or the environmental due diligence.</w:t>
      </w:r>
    </w:p>
    <w:p>
      <w:r>
        <w:t>The approach for achieving these objectives takes into account the need for effective risk management, diversification needs and asset allocation limitations.</w:t>
      </w:r>
    </w:p>
    <w:p>
      <w:r>
        <w:t>Without being exhaustive, the following practices are used for containing model risk, ●allocating experienced professionals to the development of risk models.</w:t>
      </w:r>
    </w:p>
    <w:p>
      <w:r>
        <w:t>Regarding CCF, Belfius makes a distinction between retail and non-retail counterparties, an advanced approach is applied for retail counterparties, while non-retail counterparties use the regulatory values.</w:t>
      </w:r>
    </w:p>
    <w:p>
      <w:r>
        <w:t>The outcome of the annual review drives action plans at individual model level, e.</w:t>
      </w:r>
    </w:p>
    <w:p>
      <w:r>
        <w:t>Implementation of the recalibration or more in-depth re-development of the model.</w:t>
      </w:r>
    </w:p>
    <w:p>
      <w:r>
        <w:t>Counterparty ratings and internal estimates of Basel risk parameters are widely used within Belfius Bank beyond the calculation of the regulatory risk weighted exposure amounts, namely the decision-making process, credit risk management and monitoring, internal limit determination, and risk-based pricing.</w:t>
      </w:r>
    </w:p>
    <w:p>
      <w:r>
        <w:t>Standardised Approach, eligible CRM after regulatory haircuts are directly taken into account in the EAD.</w:t>
      </w:r>
    </w:p>
    <w:p>
      <w:r>
        <w:t>In this context, Internal Audit conducts each year a dedicated mission by credit activity segmenttype Retail, Corporate, Public that aims at assessing the origination and the servicing of the credit activity line including the related models, with the aim to provide the oversight bodies with reasonable assurance with regards to the evolution of the models developed and used, the material changes and the validation process respect of planning, evolution of major recommendations raised by the Validation team… ●Model validation is also responsible of some KRIs of the Belfius RAF aiming to monitor the status of the credit and market IRB models validation.</w:t>
      </w:r>
    </w:p>
    <w:p>
      <w:r>
        <w:t>Qualitative disclosure information related to IRB approach In accordance with CRR2 Article 452, Institutions calculating risk-weighted exposure amounts under the IRB approach are required to disclose not only quantitative information on the IRB metrics and their impacts on capital requirements but also qualitative information on the internal rating systems, including the organisational structure and control mechanisms around models development, calibration and validation, the methods and data for estimating and validating the risk parameters, and the internal use of the internal risk parameters and measurements in the internal risk management and decision-making processes.</w:t>
      </w:r>
    </w:p>
    <w:p>
      <w:r>
        <w:t>Equity and Securitisation Transactions No internal models have been developed specifically for equity or securitisation transactions which follow a different regulatory approach.</w:t>
      </w:r>
    </w:p>
    <w:p>
      <w:r>
        <w:t>These risk measures are converted into risk weights and regulatory capital requirements by means of risk weight formulas specified by the Basel Committee.</w:t>
      </w:r>
    </w:p>
    <w:p>
      <w:r>
        <w:t>EOPIA European Insurance &amp; Occupational Pensions Authority European Union financial regulatory institution aiming at promoting a sound regulatory framework and consistent supervisory practices in order to protect the rights of policyholders, pension scheme members and beneficiaries and contribute to the public confidence in the European Unions insurance and occupational pensions sectors.</w:t>
      </w:r>
    </w:p>
    <w:p>
      <w:r>
        <w:t>The FSMA is responsible for supervising the financial markets and listed companies, authorising and supervising certain categories of financial institutions, overseeing compliance by financial intermediaries with codes of conduct and supervising the marketing of investment products to the general public, as well as for the social supervision of supplementary pensions.</w:t>
      </w:r>
    </w:p>
    <w:p>
      <w:r>
        <w:t>Its overall objectives are to maintain financial stability in the EU and to safeguard the integrity, efficiency and orderly functioning of the banking sector.</w:t>
      </w:r>
    </w:p>
    <w:p>
      <w:r>
        <w:t>G-SIBs are subject to higher capital buffer requirements, Total Loss- Absorbing Capacity requirements and higher supervisory expectations in terms of risk management and governance, risk data aggregation capabilities and resolvability.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