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35289" w14:textId="77777777" w:rsidR="009C2269" w:rsidRDefault="00000000">
      <w:r>
        <w:t>Sustainability statement or non-financial information, in keeping with our pursuit of integrated reporting, we have incorporated our sustainability information in the ‘Report of the Board of Directors’.</w:t>
      </w:r>
    </w:p>
    <w:p w14:paraId="60420F5C" w14:textId="77777777" w:rsidR="009C2269" w:rsidRDefault="00000000">
      <w:r>
        <w:t>The GRI Content Index with the GRI indicators that have the greatest impact on our company can be found in our Sustainability Report at We also map our relevant topics using the Sustainability Accounting Standards Board standards and have incorporated the relevant standards into the GRI Content Index and SASB Disclosure.</w:t>
      </w:r>
    </w:p>
    <w:p w14:paraId="61542219" w14:textId="77777777" w:rsidR="009C2269" w:rsidRDefault="00000000">
      <w:r>
        <w:t>We simultaneously integrated the focus on sustainability into every echelon of our organisation and embedded it in our strategy, allowing us to progress on the sustainability journey together with our clients.</w:t>
      </w:r>
    </w:p>
    <w:p w14:paraId="73AD110A" w14:textId="77777777" w:rsidR="009C2269" w:rsidRDefault="00000000">
      <w:r>
        <w:t>Next to that, our loan portfolio also includes concrete climate indicators for carbon-intensive sectors, which we monitor closely, and we joined various international initiatives related to climate change and sustainability.</w:t>
      </w:r>
    </w:p>
    <w:p w14:paraId="5173A56B" w14:textId="77777777" w:rsidR="009C2269" w:rsidRDefault="00000000">
      <w:r>
        <w:t>We also launched a second social bond in 2023, aiming to enhance our positive impact on society and improve access to education and healthcare.</w:t>
      </w:r>
    </w:p>
    <w:p w14:paraId="5C9DCC37" w14:textId="6C36E096" w:rsidR="009C2269" w:rsidRDefault="00000000">
      <w:r>
        <w:t>Our excellent sustainability ratings, such as the CDP A rating, and the inclusion of KBC in the Euronext BEL</w:t>
      </w:r>
      <w:r w:rsidR="00BF1171">
        <w:t xml:space="preserve"> </w:t>
      </w:r>
      <w:r>
        <w:t>ESG stock exchange index in 2023 are great tokens of recognition of our efforts.</w:t>
      </w:r>
    </w:p>
    <w:p w14:paraId="2CB04BB9" w14:textId="77777777" w:rsidR="009C2269" w:rsidRDefault="00000000">
      <w:r>
        <w:t>We invite you to read in this Annual Report, and especially in our Sustainability Report, at how KBC continues its sustainability efforts.</w:t>
      </w:r>
    </w:p>
    <w:p w14:paraId="0255C7B6" w14:textId="77777777" w:rsidR="009C2269" w:rsidRDefault="00000000">
      <w:r>
        <w:t>Economic growth dynamics slowed down in the euro area, as opposed to the far more substantial dynamics in the US driven by robust domestic demand and the first effects of an industrial policy that gives the sustainability of key value chains in the US economy a major boost.</w:t>
      </w:r>
    </w:p>
    <w:p w14:paraId="2FDB39E1" w14:textId="77777777" w:rsidR="009C2269" w:rsidRDefault="00000000">
      <w:r>
        <w:t>Of course, this strategy is still built entirely on the trust you, our dear client, employee, shareholder or other stakeholder, have placed in us and for which we thank you sincerely.</w:t>
      </w:r>
    </w:p>
    <w:p w14:paraId="08483F64" w14:textId="77777777" w:rsidR="009C2269" w:rsidRDefault="00000000">
      <w:r>
        <w:t>In our business operations, we also prioritise areas such as cyber risk, anti-corruption measures, climate change and, increasingly, other environmental aspects such as biodiversity, a circular economy, water management and pollution.</w:t>
      </w:r>
    </w:p>
    <w:p w14:paraId="56B490DB" w14:textId="77777777" w:rsidR="009C2269" w:rsidRDefault="00000000">
      <w:r>
        <w:t>Examples include higher levels of claims under the insurance we provide relating to consequences of extreme weather conditions and the impact on our loans or investments when relevant counterparties suffer the negative consequences of climate change or the transition to a lower-carbon society.</w:t>
      </w:r>
    </w:p>
    <w:p w14:paraId="6825FDDE" w14:textId="77777777" w:rsidR="009C2269" w:rsidRDefault="00000000">
      <w:r>
        <w:t>We encourage responsible behaviour on the part of our employees and offer them a fair reward for their work, thereby contributing to the welfare of the countries in which we operate.</w:t>
      </w:r>
    </w:p>
    <w:p w14:paraId="14892576" w14:textId="77777777" w:rsidR="009C2269" w:rsidRDefault="00000000">
      <w:r>
        <w:lastRenderedPageBreak/>
        <w:t>The ‘+’ sign in PEARL+ symbolises our focus on the joint development and smart copying of solutions, initiatives and ideas so that they are easy to utilise and deploy throughout the group, enabling us to work more efficiently, respond more quickly to change and make full use of local skills and talents group-wide.</w:t>
      </w:r>
    </w:p>
    <w:p w14:paraId="6C6EE459" w14:textId="77777777" w:rsidR="009C2269" w:rsidRDefault="00000000">
      <w:r>
        <w:t>We have appointed a dedicated PEARL manager to make sure that all our employees are thoroughly imbued with these values.</w:t>
      </w:r>
    </w:p>
    <w:p w14:paraId="753B2B48" w14:textId="77777777" w:rsidR="009C2269" w:rsidRDefault="00000000">
      <w:r>
        <w:t>Empowerment We offer every employee the chance to develop their creativity and talent.</w:t>
      </w:r>
    </w:p>
    <w:p w14:paraId="79F85A38" w14:textId="77777777" w:rsidR="009C2269" w:rsidRDefault="00000000">
      <w:r>
        <w:t>Our digital approach Digital interaction with clients forms the basis of our business model in our strategy, not only in terms of sales and advice, but also in process and product development.</w:t>
      </w:r>
    </w:p>
    <w:p w14:paraId="47AA1A4B" w14:textId="77777777" w:rsidR="009C2269" w:rsidRDefault="00000000">
      <w:r>
        <w:t>The goal is to know and understand our local clients better, pick up signals effectively and respond to them proactively, offer tailored products and services, and focus on the sustainable development of the different communities in which we operate.</w:t>
      </w:r>
    </w:p>
    <w:p w14:paraId="63BF8423" w14:textId="3CDDD5E3" w:rsidR="009C2269" w:rsidRDefault="00000000">
      <w:r>
        <w:t xml:space="preserve">Strengths Unique bank-insurance model and innovative, data-driven digital strategy, which enables us to respond immediately to our clients’ needs Strong commercial banking and insurance franchises in all our business units Successful track record of underlying business results Solid capital position and strong liquidity Firmly embedded in the local economies of our core countries Strong focus on sustainability Ambitious climate targets that we also use to guide our clients towards a more sustainable future 15 Our approach to sustainability </w:t>
      </w:r>
      <w:r w:rsidR="00BF1171">
        <w:t>a</w:t>
      </w:r>
      <w:r>
        <w:t>s a financial institution, we have a major direct and indirect impact on society.</w:t>
      </w:r>
    </w:p>
    <w:p w14:paraId="453D2B33" w14:textId="77777777" w:rsidR="009C2269" w:rsidRDefault="00000000">
      <w:r>
        <w:t>As a company that aims to support the transition to a more sustainable and climate-proof society, we have made sustainability integral to our overall business strategy and integrated it into our day-to-day business operations and the products and services we provide.</w:t>
      </w:r>
    </w:p>
    <w:p w14:paraId="56AF205D" w14:textId="77777777" w:rsidR="009C2269" w:rsidRDefault="00000000">
      <w:r>
        <w:t>Our sustainability strategy, which is geared towards the local economy and society, consists of financial resilience and three cornerstones, encouraging responsible behaviour on the part of all our employees, increasing our positive impact on society and limiting any adverse social impact we might have.</w:t>
      </w:r>
    </w:p>
    <w:p w14:paraId="17796BA6" w14:textId="77777777" w:rsidR="009C2269" w:rsidRDefault="00000000">
      <w:r>
        <w:t>Challenges A macroeconomic environment characterised by factors including geopolitical challenges and a changed interestrate environment Impact of climate change on our and our clients’ operations, and the use of opportunities related to the transition to a greener economy Stricter regulation in areas like client protection, solvency and the environment Changing client behaviour, competition and new players in the market New technologies and cybercrime 16 Annual Report KBC Group 2023 We have structured our group around three business units, which focus on local activities and contribute to sustainable earnings and growth.</w:t>
      </w:r>
    </w:p>
    <w:p w14:paraId="28238D4F" w14:textId="77777777" w:rsidR="009C2269" w:rsidRDefault="00000000">
      <w:r>
        <w:t>The Board of Directors is responsible for defining our group’s strategy, general policy and risk appetite.</w:t>
      </w:r>
    </w:p>
    <w:p w14:paraId="76F0C68B" w14:textId="77777777" w:rsidR="009C2269" w:rsidRDefault="00000000">
      <w:r>
        <w:lastRenderedPageBreak/>
        <w:t>It is supported by several specialised committees, the Audit Committee, the Risk &amp; Compliance Committee, the Nomination Committee and the Remuneration Committee.</w:t>
      </w:r>
    </w:p>
    <w:p w14:paraId="0DFDC134" w14:textId="77777777" w:rsidR="009C2269" w:rsidRDefault="00000000">
      <w:r>
        <w:t>Climate change, global health risks and geopolitical and economic challenges Our financial performance is obviously impacted by the global economy, as well as by the financial markets and demographic trends.</w:t>
      </w:r>
    </w:p>
    <w:p w14:paraId="5AE9A15C" w14:textId="77777777" w:rsidR="009C2269" w:rsidRDefault="00000000">
      <w:r>
        <w:t>The coronavirus pandemic and the recent extreme weather conditions demonstrated that climate change and public health risks, too, can have a significant impact.</w:t>
      </w:r>
    </w:p>
    <w:p w14:paraId="4FE02C79" w14:textId="77777777" w:rsidR="009C2269" w:rsidRDefault="00000000">
      <w:r>
        <w:t>We have translated our environmental and climate change strategy into specific targets and have committed ourselves to several relevant international initiatives.</w:t>
      </w:r>
    </w:p>
    <w:p w14:paraId="661706EE" w14:textId="3351FF77" w:rsidR="009C2269" w:rsidRDefault="00000000">
      <w:r>
        <w:t>Topics from our materiality analysis</w:t>
      </w:r>
      <w:r w:rsidR="008549FC">
        <w:t xml:space="preserve"> </w:t>
      </w:r>
      <w:r>
        <w:t>Long-term resilience of our business model Sustainable and responsible service and product offering Sustainable and responsible asset management and investing Ethical business conduct &amp; responsible behaviour Partner in the transformation to a more sustainable future Direct environmental impact of our activities Service offering stimulating the local economy Community engagement Shifting client behaviour and competition We face strong competition from traditional players, online banks, fintechs, bigtechs, and so on, technological changes and shifting client behaviour.</w:t>
      </w:r>
    </w:p>
    <w:p w14:paraId="1C71C4A9" w14:textId="77777777" w:rsidR="009C2269" w:rsidRDefault="00000000">
      <w:r>
        <w:t>Research and development have been performed at a variety of group companies as part of a programme to develop new and innovative digital solutions in a more data-driven financial organisation.</w:t>
      </w:r>
    </w:p>
    <w:p w14:paraId="539245F5" w14:textId="77777777" w:rsidR="009C2269" w:rsidRDefault="00000000">
      <w:r>
        <w:t>Artificial Intelligence, the EU intends to regulate the sale, development and application of AI systems at the European level by means of a risk-based approach.</w:t>
      </w:r>
    </w:p>
    <w:p w14:paraId="2D92BB8B" w14:textId="1849546C" w:rsidR="009C2269" w:rsidRDefault="00000000">
      <w:r>
        <w:t>Topics from our materiality analysis</w:t>
      </w:r>
      <w:r w:rsidR="008549FC">
        <w:t xml:space="preserve"> </w:t>
      </w:r>
      <w:r>
        <w:t>Fair, understandable and transparent information to clients Long-term resilience of our business model Ethical business conduct &amp; responsible behaviour Sustainable and responsible service and product offering Sustainable and responsible asset management and investing Data protection and cybersecurity Promotion of financial literacy Cyber risks and data protection Following trends in the digital landscape, cyberattacks pose a constant threat in a rapidly digitalising world.</w:t>
      </w:r>
    </w:p>
    <w:p w14:paraId="7131A0C7" w14:textId="77777777" w:rsidR="009C2269" w:rsidRDefault="00000000">
      <w:r>
        <w:t>Developments based on Artificial Intelligence increase the number of potential cyberattacks and introduce new ways of launching cyberattacks.</w:t>
      </w:r>
    </w:p>
    <w:p w14:paraId="17F1F7F8" w14:textId="77777777" w:rsidR="009C2269" w:rsidRDefault="00000000">
      <w:r>
        <w:t>The ‘E’ in PEARL+ stands for ‘Empowerment’, referring to our commitment to give every employee the space they need to develop their talent and creativity and to deploy it towards accomplishing our business strategy.</w:t>
      </w:r>
    </w:p>
    <w:p w14:paraId="38C29A5E" w14:textId="77777777" w:rsidR="009C2269" w:rsidRDefault="00000000">
      <w:r>
        <w:t>Through the various ‘Team Blue’ initiatives, such as the Team Blue Challenges and Group Inspiration Days, we aim to unite employees from different countries, to make them proud of their team and their company and enable them to draw on each other’s experience.</w:t>
      </w:r>
    </w:p>
    <w:p w14:paraId="1CA8E79C" w14:textId="77777777" w:rsidR="009C2269" w:rsidRDefault="00000000">
      <w:r>
        <w:lastRenderedPageBreak/>
        <w:t>It remains our fixed ambition to ensure our organisation and employees remain future-proof, and to keep the latter on board as much as possible and enable them to grow with KBC.</w:t>
      </w:r>
    </w:p>
    <w:p w14:paraId="16CA0EE3" w14:textId="77777777" w:rsidR="009C2269" w:rsidRDefault="00000000">
      <w:r>
        <w:t>Through progression reviews held with the manager, StiPPLE helps them focus on the right performance and development targets.</w:t>
      </w:r>
    </w:p>
    <w:p w14:paraId="60A9CB51" w14:textId="77777777" w:rsidR="009C2269" w:rsidRDefault="00000000">
      <w:r>
        <w:t>Employees can also use the platform to gain insight into their career, which jobs correspond to their profile and which skills do they need to develop to achieve their ambitions?</w:t>
      </w:r>
    </w:p>
    <w:p w14:paraId="6CE9CCBF" w14:textId="77777777" w:rsidR="009C2269" w:rsidRDefault="00000000">
      <w:r>
        <w:t>As a proper balance between business performance and employee well-being is more important than ever, we are looking for creative solutions to ensure that we can all continue to work in good health and with enthusiasm.</w:t>
      </w:r>
    </w:p>
    <w:p w14:paraId="6060B1EC" w14:textId="77777777" w:rsidR="009C2269" w:rsidRDefault="00000000">
      <w:r>
        <w:t>A dedicated team from our new Work Life Support department at KBC Belgium develops integrated solutions for a preventive approach to burnouts and mental health issues, in order to support employees returning to work after a period of illness and for sustainable end-ofcareer proposals.</w:t>
      </w:r>
    </w:p>
    <w:p w14:paraId="78969235" w14:textId="77777777" w:rsidR="009C2269" w:rsidRDefault="00000000">
      <w:r>
        <w:t>Good managers are key when it comes to bringing out the best in our employees and implementing the KBC strategy successfully.</w:t>
      </w:r>
    </w:p>
    <w:p w14:paraId="4373F589" w14:textId="77777777" w:rsidR="009C2269" w:rsidRDefault="00000000">
      <w:r>
        <w:t>There is a special focus in this policy on gender diversity.</w:t>
      </w:r>
    </w:p>
    <w:p w14:paraId="529F7364" w14:textId="77777777" w:rsidR="009C2269" w:rsidRDefault="00000000">
      <w:r>
        <w:t>In 2023, it was precisely this sense of connection that rose to 79% in Belgium and remained unchanged at 72% at group level, as employees are proud of the stability of KBC as a company and of its innovative approach.</w:t>
      </w:r>
    </w:p>
    <w:p w14:paraId="4A1AAF60" w14:textId="77777777" w:rsidR="009C2269" w:rsidRDefault="00000000">
      <w:r>
        <w:t>Apart from engagement, the Shape Your Future Survey also gauges the support for and impact of the KBC strategy among our employees, as well as other aspects of PEARL+, such as a sense of autonomy and empowerment.</w:t>
      </w:r>
    </w:p>
    <w:p w14:paraId="7CC6CCDD" w14:textId="77777777" w:rsidR="009C2269" w:rsidRDefault="00000000">
      <w:r>
        <w:t>The outcome of the survey reveals, for example, that 75% of our employees recognise how their job helps to put the KBC strategy into practice.</w:t>
      </w:r>
    </w:p>
    <w:p w14:paraId="71AE3610" w14:textId="77777777" w:rsidR="009C2269" w:rsidRDefault="00000000">
      <w:r>
        <w:t>Our policy, including a number of general principles, was published on we are taking part in the Bloomberg Gender Equality Index for the third time and in the Workforce Disclosure Initiative for the second time.</w:t>
      </w:r>
    </w:p>
    <w:p w14:paraId="435D06B6" w14:textId="77777777" w:rsidR="009C2269" w:rsidRDefault="00000000">
      <w:r>
        <w:t>Using focus groups, surveys and other participatory methods, we actively listen to the experiences and needs of our employees.</w:t>
      </w:r>
    </w:p>
    <w:p w14:paraId="62D75A8B" w14:textId="77777777" w:rsidR="009C2269" w:rsidRDefault="00000000">
      <w:r>
        <w:t>The resulting valuable insights not only contribute to a more inclusive work environment, but also enable us to take concrete steps involving adjustments that increase workplace accessibility.</w:t>
      </w:r>
    </w:p>
    <w:p w14:paraId="7AB96BF2" w14:textId="77777777" w:rsidR="009C2269" w:rsidRDefault="00000000">
      <w:r>
        <w:lastRenderedPageBreak/>
        <w:t>Each of our entities will develop a plan containing specific improvement measures related to diversity and inclusion, and in setting up teams they do not just consider skills but also factors such as gender, age, cultural background, and so on.</w:t>
      </w:r>
    </w:p>
    <w:p w14:paraId="366F20DF" w14:textId="77777777" w:rsidR="009C2269" w:rsidRDefault="00000000">
      <w:r>
        <w:t>An annual study is conducted in Belgium into the role of gender, compared to other factors, in decisions concerning remuneration, the outcome of which can be found in our Sustainability Report.</w:t>
      </w:r>
    </w:p>
    <w:p w14:paraId="604CCB86" w14:textId="77777777" w:rsidR="009C2269" w:rsidRDefault="00000000">
      <w:r>
        <w:t>This dashboard is used, among other things, to record data and information on FTE developments, performance and progression, and skill and reward development.</w:t>
      </w:r>
    </w:p>
    <w:p w14:paraId="7D28BC93" w14:textId="77777777" w:rsidR="009C2269" w:rsidRDefault="00000000">
      <w:r>
        <w:t>Other dashboards and various ad hoc HR analyses enable us to extrapolate information from HR data and implement the appropriate measures in response.</w:t>
      </w:r>
    </w:p>
    <w:p w14:paraId="1ED75EFF" w14:textId="77777777" w:rsidR="009C2269" w:rsidRDefault="00000000">
      <w:r>
        <w:t>Examples in this regard include EBA guidelines on outsourcing, a variety of laws on remuneration policy including the variable wage component and privacy law.</w:t>
      </w:r>
    </w:p>
    <w:p w14:paraId="47641F66" w14:textId="77777777" w:rsidR="009C2269" w:rsidRDefault="00000000">
      <w:r>
        <w:t>We ensure that all employees are in compliance with the legal training requirements in the various countries in which we are active, in areas such as the distribution of insurance policies, loans and investment products.</w:t>
      </w:r>
    </w:p>
    <w:p w14:paraId="67155FD3" w14:textId="77777777" w:rsidR="009C2269" w:rsidRDefault="00000000">
      <w:r>
        <w:t>Dividend policy and share buyback programme, see ‘We aim to achieve our ambitions within a stringent risk management framework’.</w:t>
      </w:r>
    </w:p>
    <w:p w14:paraId="3A09FE57" w14:textId="77777777" w:rsidR="009C2269" w:rsidRDefault="00000000">
      <w:r>
        <w:t>We focus on our group’s long-term development and aim to achieve sustainable and profitable growth.</w:t>
      </w:r>
    </w:p>
    <w:p w14:paraId="2C6F1D88" w14:textId="77777777" w:rsidR="009C2269" w:rsidRDefault="00000000">
      <w:r>
        <w:t>Within a stringent risk, capital and liquidity management framework The client is at the centre of our business culture Main challenges Making client experience central and focusing on operational efficiency Offering proactive client-friendly solutions, powered by Artificial Intelligence and qualitative data Paying special attention to data protection and privacy and to transparent client communication 31 Annual Report KBC Group 2023 Access to financial services and solid financial advice for all sections of society contributes to economic development and forms the basis for financial and social integration.</w:t>
      </w:r>
    </w:p>
    <w:p w14:paraId="3DCCC0A6" w14:textId="77777777" w:rsidR="009C2269" w:rsidRDefault="00000000">
      <w:r>
        <w:t>Our employees also support and encourage the use of digital processes and monitor this use, supported by artificial intelligence, data and data analysis.</w:t>
      </w:r>
    </w:p>
    <w:p w14:paraId="73077CC3" w14:textId="77777777" w:rsidR="009C2269" w:rsidRDefault="00000000">
      <w:r>
        <w:t>As a result of the withdrawal from Ireland, arising merger and acquisition opportunities beyond our core markets may be assessed for approval of the Board of Directors taking into account very strict strategic, financial, operational and risk criteria.</w:t>
      </w:r>
    </w:p>
    <w:p w14:paraId="014A4A97" w14:textId="77777777" w:rsidR="009C2269" w:rsidRDefault="00000000">
      <w:r>
        <w:t>Stringent risk management in everything we do is an absolute precondition in terms of guaranteeing sustainability.</w:t>
      </w:r>
    </w:p>
    <w:p w14:paraId="30F7D137" w14:textId="77777777" w:rsidR="009C2269" w:rsidRDefault="00000000">
      <w:r>
        <w:t>We promote a good work-life balance among our employees.</w:t>
      </w:r>
    </w:p>
    <w:p w14:paraId="2E21E760" w14:textId="77777777" w:rsidR="009C2269" w:rsidRDefault="00000000">
      <w:r>
        <w:lastRenderedPageBreak/>
        <w:t>In association with BRS, we also offer microfinancing and microinsurance activities, thereby supporting sustainable local development and contributing to financial inclusion.</w:t>
      </w:r>
    </w:p>
    <w:p w14:paraId="65B610C9" w14:textId="77777777" w:rsidR="009C2269" w:rsidRDefault="00000000">
      <w:r>
        <w:t>Responsible consumption and production We develop sustainable banking and insurance products and services that meet a range of social and environmental challenges.</w:t>
      </w:r>
    </w:p>
    <w:p w14:paraId="14AED0BB" w14:textId="77777777" w:rsidR="009C2269" w:rsidRDefault="00000000">
      <w:r>
        <w:t>We have also defined ambitious climate targets for the most important sectors and products in our loan portfolio.</w:t>
      </w:r>
    </w:p>
    <w:p w14:paraId="118A4405" w14:textId="77777777" w:rsidR="009C2269" w:rsidRDefault="00000000">
      <w:r>
        <w:t>We work together with our clients to achieve these targets, and we actively collaborate with the companies in which we invest in order to reduce their climate impact.</w:t>
      </w:r>
    </w:p>
    <w:p w14:paraId="00601C22" w14:textId="77777777" w:rsidR="009C2269" w:rsidRDefault="00000000">
      <w:r>
        <w:t>On top of this, we have defined ambitious targets for our direct emissions and are making every effort to achieve them.</w:t>
      </w:r>
    </w:p>
    <w:p w14:paraId="0223ED31" w14:textId="77777777" w:rsidR="009C2269" w:rsidRDefault="00000000">
      <w:r>
        <w:t>The basis of responsible behaviour is integrity, which requires honesty, fairness, transparency and confidentiality, as well as a healthy awareness of risk.</w:t>
      </w:r>
    </w:p>
    <w:p w14:paraId="374F240E" w14:textId="77777777" w:rsidR="009C2269" w:rsidRDefault="00000000">
      <w:r>
        <w:t>We developed an online training course to clarify the importance of responsible behaviour and provide a framework to help our employees take difficult decisions when faced with dilemmas.</w:t>
      </w:r>
    </w:p>
    <w:p w14:paraId="5C0DAA1A" w14:textId="2EA78DE5" w:rsidR="009C2269" w:rsidRDefault="00000000">
      <w:r>
        <w:t>Aiming to enhance our positive impact on society We want to enhance our positive impact on society to which end we are focusing on four areas in which we, as a bankinsurer, can create added value, financial literacy, entrepreneurship, environmental awareness and longevity and</w:t>
      </w:r>
      <w:r w:rsidR="008549FC">
        <w:t xml:space="preserve"> </w:t>
      </w:r>
      <w:r>
        <w:t>or health.</w:t>
      </w:r>
    </w:p>
    <w:p w14:paraId="134389FB" w14:textId="26A78B2B" w:rsidR="009C2269" w:rsidRDefault="00000000">
      <w:r>
        <w:t>We reduce our direct and indirect ecological footprint through a diverse range of initiatives and objectives.</w:t>
      </w:r>
    </w:p>
    <w:p w14:paraId="21111031" w14:textId="4A1637F3" w:rsidR="009C2269" w:rsidRDefault="00000000">
      <w:r>
        <w:t>A complete list of our sustainability policies</w:t>
      </w:r>
      <w:r w:rsidR="004060FC">
        <w:t xml:space="preserve"> </w:t>
      </w:r>
      <w:r>
        <w:t>including for specific sectors such as coal and themes like biodiversity</w:t>
      </w:r>
      <w:r w:rsidR="004060FC">
        <w:t xml:space="preserve"> </w:t>
      </w:r>
      <w:r>
        <w:t>can be found in our Sustainability Report and our Sustainability Framework at Important KBC sustainability policies Blacklist of companies and activities We place stringent ethical restrictions on businesses involved with controversial weapons systems including nuclear and white phosphorous weapons and on businesses viewed as ‘serious’ infringers of UN Global Compact Principles.</w:t>
      </w:r>
    </w:p>
    <w:p w14:paraId="26A6EF82" w14:textId="77777777" w:rsidR="009C2269" w:rsidRDefault="00000000">
      <w:r>
        <w:t>Human rights Our human rights policy is based on the UN Guiding Principles on Business and Human Rights and UN Global Compact Principles.</w:t>
      </w:r>
    </w:p>
    <w:p w14:paraId="6D3F218B" w14:textId="77777777" w:rsidR="009C2269" w:rsidRDefault="00000000">
      <w:r>
        <w:t>Controversial regimes We do not wish to be involved in financial activities with controversial regimes that fundamentally violate human rights and lack any form of good governance, rule of law or economic freedom.</w:t>
      </w:r>
    </w:p>
    <w:p w14:paraId="29F6D11A" w14:textId="77777777" w:rsidR="009C2269" w:rsidRDefault="00000000">
      <w:r>
        <w:t xml:space="preserve">Sustainable and responsible banking, advisory and insurance policy We have imposed restrictions on providing loans, advice and insurance to controversial and socially sensitive sectors and activities such as, the energy sector, project finance, arms-related activities, </w:t>
      </w:r>
      <w:r>
        <w:lastRenderedPageBreak/>
        <w:t>tobacco, gambling, sectors with a substantial impact on biodiversity palm oil production, mining, etc.</w:t>
      </w:r>
    </w:p>
    <w:p w14:paraId="7CC092CE" w14:textId="77777777" w:rsidR="009C2269" w:rsidRDefault="00000000">
      <w:r>
        <w:t>Since climate-related and environmental risks have been classified as a top risk, the Risk and Compliance Committee monitors sustainability risks closely.</w:t>
      </w:r>
    </w:p>
    <w:p w14:paraId="02CCEA2B" w14:textId="77777777" w:rsidR="009C2269" w:rsidRDefault="00000000">
      <w:r>
        <w:t>Group Corporate Sustainability, responsible for developing, implementing and supervising the sustainability strategy.</w:t>
      </w:r>
    </w:p>
    <w:p w14:paraId="0A40145E" w14:textId="77777777" w:rsidR="009C2269" w:rsidRDefault="00000000">
      <w:r>
        <w:t>The team reports to the Internal Sustainability Board on the implementation of the strategy and prepares the KBC Sustainability Dashboard.</w:t>
      </w:r>
    </w:p>
    <w:p w14:paraId="575A1C16" w14:textId="77777777" w:rsidR="009C2269" w:rsidRDefault="00000000">
      <w:r>
        <w:t>They are responsible for communication on sustainability in every country and for the integration of the sustainability strategy.</w:t>
      </w:r>
    </w:p>
    <w:p w14:paraId="36F462D5" w14:textId="77777777" w:rsidR="009C2269" w:rsidRDefault="00000000">
      <w:r>
        <w:t>Our dependence on natural resources is relatively limited, but we nevertheless manage our direct greenhouse gas emissions with the goal of steadily reducing them in line with fixed targets.</w:t>
      </w:r>
    </w:p>
    <w:p w14:paraId="588050AE" w14:textId="77777777" w:rsidR="009C2269" w:rsidRDefault="00000000">
      <w:r>
        <w:t>Examples include potential risks due to acutely or chronically changing weather patterns, which can lead to higher levels of claims under the insurance we provide, or the impact on our loans or investments when relevant counterparties suffer the negative consequences of climate change or the transition to a lower-carbon society which can lead to repayment problems.</w:t>
      </w:r>
    </w:p>
    <w:p w14:paraId="4DA4121B" w14:textId="77777777" w:rsidR="009C2269" w:rsidRDefault="00000000">
      <w:r>
        <w:t>It also relates to the influence we experience from possible changes to the relevant legislation and capital requirements, litigation, changes in client behaviour including the risk of missed opportunities, the impact of rising market prices on greenhouse gas emissions, and technological innovations.</w:t>
      </w:r>
    </w:p>
    <w:p w14:paraId="2A57690E" w14:textId="77777777" w:rsidR="009C2269" w:rsidRDefault="00000000">
      <w:r>
        <w:t>This entails both further expanding our sustainable product and service offering in the field of investment, insurance, leasing and so on, and actively supporting clients in their transition to lower-carbon operations and minimising the impact on the environment.</w:t>
      </w:r>
    </w:p>
    <w:p w14:paraId="7666105B" w14:textId="77777777" w:rsidR="009C2269" w:rsidRDefault="00000000">
      <w:r>
        <w:t>A Sustainable Finance programme has been set up within the group as part of the sustainability policy to focus on integrating the climate and environmental approach in the group.</w:t>
      </w:r>
    </w:p>
    <w:p w14:paraId="448E5DD5" w14:textId="77777777" w:rsidR="009C2269" w:rsidRDefault="00000000">
      <w:r>
        <w:t>A steering committee, chaired by the group CFO, oversees the progress and the implementation of the measures implemented under the Sustainable Finance programme.</w:t>
      </w:r>
    </w:p>
    <w:p w14:paraId="24B28813" w14:textId="77777777" w:rsidR="009C2269" w:rsidRDefault="00000000">
      <w:r>
        <w:t>Adjusting our activities to limit the global temperature increase in line with the Paris Agreement and joining the UN’s Collective Commitment to Climate Action.</w:t>
      </w:r>
    </w:p>
    <w:p w14:paraId="701B169E" w14:textId="77777777" w:rsidR="009C2269" w:rsidRDefault="00000000">
      <w:r>
        <w:t>We contribute to the development of methods to measure the impact of the climate on our business model with a view to setting evidence-based targets.</w:t>
      </w:r>
    </w:p>
    <w:p w14:paraId="5A3FA3CF" w14:textId="77777777" w:rsidR="009C2269" w:rsidRDefault="00000000">
      <w:r>
        <w:lastRenderedPageBreak/>
        <w:t>At the end of 2023, KBC Group also committed to reporting on its impact on nature in compliance with the recommendations of the Taskforce on Nature-related Financial Disclosures .</w:t>
      </w:r>
    </w:p>
    <w:p w14:paraId="567C1224" w14:textId="77777777" w:rsidR="009C2269" w:rsidRDefault="00000000">
      <w:r>
        <w:t>Integrating climate-related risks, opportunities and targets into our sector approach remains a key challenge.</w:t>
      </w:r>
    </w:p>
    <w:p w14:paraId="70D0D607" w14:textId="77777777" w:rsidR="009C2269" w:rsidRDefault="00000000">
      <w:r>
        <w:t>Based on a materiality assessment, we focused on the sectors representing more than 5% of industrial loans designated as climate-sensitive and carbonintensive.</w:t>
      </w:r>
    </w:p>
    <w:p w14:paraId="16AFBA6A" w14:textId="77777777" w:rsidR="009C2269" w:rsidRDefault="00000000">
      <w:r>
        <w:t>These analyses form the basis for determining a strategy and targets that must help us to effectively honour our climate commitment as part of the Paris Agreement.</w:t>
      </w:r>
    </w:p>
    <w:p w14:paraId="6E8F2F53" w14:textId="77777777" w:rsidR="009C2269" w:rsidRDefault="00000000">
      <w:r>
        <w:t>The report contains a clear overview of our baseline measurement and the reduction targets for 2030 and 2050 we have set for the most relevant carbonintensive industrial sectors and product lines in our lending activities, as well as the corresponding policy decisions taken to reach those targets.</w:t>
      </w:r>
    </w:p>
    <w:p w14:paraId="0617738C" w14:textId="77777777" w:rsidR="009C2269" w:rsidRDefault="00000000">
      <w:r>
        <w:t>In our Sustainability Report, we annually report on the progress we have made on these targets.</w:t>
      </w:r>
    </w:p>
    <w:p w14:paraId="4CB88705" w14:textId="53386BE2" w:rsidR="009C2269" w:rsidRDefault="00000000">
      <w:r>
        <w:t xml:space="preserve">We report on our approach </w:t>
      </w:r>
      <w:proofErr w:type="gramStart"/>
      <w:r>
        <w:t>in the area of</w:t>
      </w:r>
      <w:proofErr w:type="gramEnd"/>
      <w:r>
        <w:t xml:space="preserve"> the environment through channels such as our Climate Report, Sustainability Report, this Annual Report and via sustainability We are proud that Euronext included the KBC share in the new BEL</w:t>
      </w:r>
      <w:r w:rsidR="00BF1171">
        <w:t xml:space="preserve"> </w:t>
      </w:r>
      <w:r>
        <w:t>ESG stock exchange index in 2023.</w:t>
      </w:r>
    </w:p>
    <w:p w14:paraId="5E209764" w14:textId="77777777" w:rsidR="009C2269" w:rsidRDefault="00000000">
      <w:r>
        <w:t>We regularly tighten up our approach, taking account of scientific and technological developments, social trends and the changing views of our stakeholders and also invite regular challenges by our External Sustainability Board.</w:t>
      </w:r>
    </w:p>
    <w:p w14:paraId="235CC999" w14:textId="77777777" w:rsidR="009C2269" w:rsidRDefault="00000000">
      <w:r>
        <w:t>Information on our code of conduct for suppliers and our internal procedure for screening suppliers can be found in the ‘Focus on human rights’ section.</w:t>
      </w:r>
    </w:p>
    <w:p w14:paraId="39AEA622" w14:textId="77777777" w:rsidR="009C2269" w:rsidRDefault="00000000">
      <w:r>
        <w:t>One of the pillars of our sustainability and climate policy is the focus on responsible investment.</w:t>
      </w:r>
    </w:p>
    <w:p w14:paraId="7C283EFD" w14:textId="77777777" w:rsidR="009C2269" w:rsidRDefault="00000000">
      <w:r>
        <w:t>If both the traditional option and its responsible counterpart are available, our employees in the regular sales channel will first offer clients the responsible investment.</w:t>
      </w:r>
    </w:p>
    <w:p w14:paraId="2F056B8B" w14:textId="77777777" w:rsidR="009C2269" w:rsidRDefault="00000000">
      <w:r>
        <w:t>All of KBC’s responsible investment funds in Belgium comply with the ‘Towards Sustainability’ quality standard developed at the instigation of and monitored by the Central Labelling Agency.</w:t>
      </w:r>
    </w:p>
    <w:p w14:paraId="7DFB8218" w14:textId="77777777" w:rsidR="009C2269" w:rsidRDefault="00000000">
      <w:r>
        <w:t>We meet our responsibility through various international organisations and initiatives, We endorsed the TCFD recommendations in December 2017.</w:t>
      </w:r>
    </w:p>
    <w:p w14:paraId="34BAC150" w14:textId="77777777" w:rsidR="009C2269" w:rsidRDefault="00000000">
      <w:r>
        <w:t>We offer several products to financially support the most energy-efficient homes and energy renovation, and to encourage this development.</w:t>
      </w:r>
    </w:p>
    <w:p w14:paraId="7B96F7CB" w14:textId="77777777" w:rsidR="009C2269" w:rsidRDefault="00000000">
      <w:r>
        <w:lastRenderedPageBreak/>
        <w:t>In Slovakia, ČSOB Leasing works with its partners to actively promote the use of no-emission and low-emission vehicles.</w:t>
      </w:r>
    </w:p>
    <w:p w14:paraId="69AD2FDD" w14:textId="77777777" w:rsidR="009C2269" w:rsidRDefault="00000000">
      <w:r>
        <w:t>For quite some time, KBC Asset Management has been a signatory to Climate Action 100+, an investors’ initiative intended to ensure that the world’s largest companies that emit greenhouse gases take the action needed to combat climate change.</w:t>
      </w:r>
    </w:p>
    <w:p w14:paraId="34121A8F" w14:textId="77777777" w:rsidR="009C2269" w:rsidRDefault="00000000">
      <w:r>
        <w:t>In late 2023, KBC Asset Management also joined the Nature Action 100 initiative, which aims to urge companies to step up their ambitions and efforts towards addressing the impact of their activities on nature and biodiversity degradation.</w:t>
      </w:r>
    </w:p>
    <w:p w14:paraId="3591C1A8" w14:textId="77777777" w:rsidR="009C2269" w:rsidRDefault="00000000">
      <w:r>
        <w:t>Our benchmarks, data and targets Our indirect impact We use state-of-the-art methods such as PCAF and PACTA to measure the climate impact of certain sectors and the transition process in the loan portfolio.</w:t>
      </w:r>
    </w:p>
    <w:p w14:paraId="33BF1E7A" w14:textId="77777777" w:rsidR="009C2269" w:rsidRDefault="00000000">
      <w:r>
        <w:t>We report on the estimated greenhouse gas emissions associated with our lending activities using the measurement methodology of the Partnership for Carbon Accounting Financials .</w:t>
      </w:r>
    </w:p>
    <w:p w14:paraId="4600FCFF" w14:textId="77777777" w:rsidR="009C2269" w:rsidRDefault="00000000">
      <w:r>
        <w:t>This report also contains information on how we want to gradually improve our reporting on these emissions by gathering more adequate and more refined data.</w:t>
      </w:r>
    </w:p>
    <w:p w14:paraId="2EF691D6" w14:textId="77777777" w:rsidR="009C2269" w:rsidRDefault="00000000">
      <w:r>
        <w:t>How did we define our sector climate targets?</w:t>
      </w:r>
    </w:p>
    <w:p w14:paraId="4445985B" w14:textId="77777777" w:rsidR="009C2269" w:rsidRDefault="00000000">
      <w:r>
        <w:t>Based on climate science aligned with targets from the Paris Agreement and taking into account the local context, all KBC entities engaged in lending or leasing activities prepared projections for the expected portfolio-specific and sectorspecific decarbonisation development, ultimately resulting in company targets.</w:t>
      </w:r>
    </w:p>
    <w:p w14:paraId="47771D31" w14:textId="5DE58381" w:rsidR="009C2269" w:rsidRDefault="00000000">
      <w:r>
        <w:t>All targets were aggregated into a single projection at KBC group level, which is compared with climate benchmarks derived from climate scenarios with a ‘less than 2°C global warming’ target,</w:t>
      </w:r>
      <w:r w:rsidR="00243D49">
        <w:t xml:space="preserve"> c</w:t>
      </w:r>
      <w:r>
        <w:t>ourses of action that are in line with our CCCA commitment.</w:t>
      </w:r>
    </w:p>
    <w:p w14:paraId="3FA7ADE7" w14:textId="77777777" w:rsidR="009C2269" w:rsidRDefault="00000000">
      <w:r>
        <w:t>Seeking to have the climate targets verified by an independent party, KBC Bank and its consolidated entities signed a commitment letter with the Science Based Targets initiative SBTi at the end of 2022 to commit themselves to having their climate targets validated by SBTi within two years of signing.</w:t>
      </w:r>
    </w:p>
    <w:p w14:paraId="1EC74D3D" w14:textId="77777777" w:rsidR="009C2269" w:rsidRDefault="00000000">
      <w:r>
        <w:t>We also tightened the targets for our asset management activities, including for the importance of responsible investment funds and the carbon intensity of corporate investments in these funds.</w:t>
      </w:r>
    </w:p>
    <w:p w14:paraId="5EEADA3A" w14:textId="77777777" w:rsidR="009C2269" w:rsidRDefault="00000000">
      <w:r>
        <w:t>As the PCAF guidelines for the other classes are not yet available, no climate targets have been set for those activities.</w:t>
      </w:r>
    </w:p>
    <w:p w14:paraId="72C2BE55" w14:textId="77777777" w:rsidR="009C2269" w:rsidRDefault="00000000">
      <w:r>
        <w:t>We nevertheless also calculate our own direct greenhouse gas impact including from our own buildings and our own fleet and apply certain targets in that regard.</w:t>
      </w:r>
    </w:p>
    <w:p w14:paraId="340CA5DC" w14:textId="77777777" w:rsidR="009C2269" w:rsidRDefault="00000000">
      <w:r>
        <w:lastRenderedPageBreak/>
        <w:t>Furthermore, since 2021 we have invested in climate projects to offset the portion of our emissions that we are currently unable to reduce, thereby aiming for carbon neutrality.</w:t>
      </w:r>
    </w:p>
    <w:p w14:paraId="6443C0D0" w14:textId="77777777" w:rsidR="009C2269" w:rsidRDefault="00000000">
      <w:r>
        <w:t>Energy, we aim to support the decarbonisation of the energy system in all segments by financing additional renewable energy production capacity and encouraging energy efficiency.</w:t>
      </w:r>
    </w:p>
    <w:p w14:paraId="1648C7E1" w14:textId="77777777" w:rsidR="009C2269" w:rsidRDefault="00000000">
      <w:r>
        <w:t>Real estate, we offer several products to financially support the most energy-efficient homes and energy renovation, and to encourage this development.</w:t>
      </w:r>
    </w:p>
    <w:p w14:paraId="0128ADD4" w14:textId="77777777" w:rsidR="009C2269" w:rsidRDefault="00000000">
      <w:r>
        <w:t>Agriculture, we inform, inspire and support our clients in reducing their emission of greenhouse gases methane, nitrous oxide and CO2.</w:t>
      </w:r>
    </w:p>
    <w:p w14:paraId="10A13C24" w14:textId="77777777" w:rsidR="009C2269" w:rsidRDefault="00000000">
      <w:r>
        <w:t>Responsible investment funds, we ask investors to state their sustainability preferences and take these into account when providing investment advice.</w:t>
      </w:r>
    </w:p>
    <w:p w14:paraId="148CE54F" w14:textId="77777777" w:rsidR="009C2269" w:rsidRDefault="00000000">
      <w:r>
        <w:t>Examples of initiatives intended to reduce our own environmental footprint are the switch to 100% electricity from renewable sources, the installation of photovoltaic panels on our own buildings, and the reorientation of the mobility policy for our employees towards public transport, bicycles and electric vehicles.</w:t>
      </w:r>
    </w:p>
    <w:p w14:paraId="7C45B776" w14:textId="77777777" w:rsidR="009C2269" w:rsidRDefault="00000000">
      <w:r>
        <w:t>Six environmental objectives are laid out in the Taxonomy Regulation, climate change mitigation .</w:t>
      </w:r>
    </w:p>
    <w:p w14:paraId="199C356C" w14:textId="77777777" w:rsidR="009C2269" w:rsidRDefault="00000000">
      <w:r>
        <w:t>As of 1 January 2024, these undertakings are required to disclose taxonomy alignment regarding these objectives and taxonomy eligibility for the other four environmental objectives.</w:t>
      </w:r>
    </w:p>
    <w:p w14:paraId="18BA4295" w14:textId="77777777" w:rsidR="009C2269" w:rsidRDefault="00000000">
      <w:r>
        <w:t>We discussed the taxonomy criteria in various working groups with representatives from the different KBC core countries and have included the criteria for a substantial contribution to environmental objectives in our annual planning process.</w:t>
      </w:r>
    </w:p>
    <w:p w14:paraId="3C991982" w14:textId="77777777" w:rsidR="009C2269" w:rsidRDefault="00000000">
      <w:r>
        <w:t>We not only focus on the EU Taxonomy, but also closely monitor other environmental initiatives.</w:t>
      </w:r>
    </w:p>
    <w:p w14:paraId="58745FB9" w14:textId="77777777" w:rsidR="009C2269" w:rsidRDefault="00000000">
      <w:r>
        <w:t>When developing banking or insurance products, we evaluate their green or Sustainability integrated into our remuneration policy The variable remuneration of Executive Committee members is linked to factors including the achievement of a number of collective targets.</w:t>
      </w:r>
    </w:p>
    <w:p w14:paraId="038931B3" w14:textId="77777777" w:rsidR="009C2269" w:rsidRDefault="00000000">
      <w:r>
        <w:t>Sustainability is also integrated into management’s variable remuneration.</w:t>
      </w:r>
    </w:p>
    <w:p w14:paraId="41444C4F" w14:textId="77777777" w:rsidR="009C2269" w:rsidRDefault="00000000">
      <w:r>
        <w:t>At least 10% of the variable remuneration received by senior management depends on the achievement of individual targets agreed in advance as part of the group’s sustainability policy, including climate policy.</w:t>
      </w:r>
    </w:p>
    <w:p w14:paraId="743059F3" w14:textId="77777777" w:rsidR="009C2269" w:rsidRDefault="00000000">
      <w:r>
        <w:t>The non-recurrent results-based bonus paid to employees in Belgium has been partially linked to environmental targets the ratio between the number of green kilometres and the number of commuting kilometres, for instance.</w:t>
      </w:r>
    </w:p>
    <w:p w14:paraId="7DF7A4A7" w14:textId="77777777" w:rsidR="009C2269" w:rsidRDefault="00000000">
      <w:r>
        <w:lastRenderedPageBreak/>
        <w:t>EU Taxonomy The Taxonomy Regulation establishes an EU-wide framework according to which investors and businesses can assess whether certain economic activities are environmentally sustainable.</w:t>
      </w:r>
    </w:p>
    <w:p w14:paraId="33077E8A" w14:textId="5DF7D89C" w:rsidR="009C2269" w:rsidRDefault="00000000">
      <w:r>
        <w:t xml:space="preserve">The activity must, be a relevant activity, </w:t>
      </w:r>
      <w:r w:rsidR="004060FC">
        <w:t>t</w:t>
      </w:r>
      <w:r>
        <w:t>he activity is on the list of activities which are considered as most relevant for achieving the environmental goals defined by Europe.</w:t>
      </w:r>
    </w:p>
    <w:p w14:paraId="418E322C" w14:textId="77777777" w:rsidR="009C2269" w:rsidRDefault="00000000">
      <w:r>
        <w:t>Individual taxonomy-eligible credit applications are also thoroughly screened to verify compliance with the technical criteria and social minimum safeguards.</w:t>
      </w:r>
    </w:p>
    <w:p w14:paraId="0727AB1D" w14:textId="77777777" w:rsidR="009C2269" w:rsidRDefault="00000000">
      <w:r>
        <w:t>Non-financial counterparties have disclosed alignment data on climate change mitigation and climate change adaptation for the first time in their publications for 2022, as their disclosure obligation entered into force a year before that of financial undertakings.</w:t>
      </w:r>
    </w:p>
    <w:p w14:paraId="17DC24F2" w14:textId="68F85E1A" w:rsidR="009C2269" w:rsidRDefault="00000000">
      <w:r>
        <w:t xml:space="preserve">Data availability and data quality are continuously </w:t>
      </w:r>
      <w:proofErr w:type="gramStart"/>
      <w:r>
        <w:t>monitored</w:t>
      </w:r>
      <w:proofErr w:type="gramEnd"/>
      <w:r>
        <w:t xml:space="preserve"> and appropriate action is taken to make progress on this level</w:t>
      </w:r>
      <w:r w:rsidR="004060FC">
        <w:t xml:space="preserve"> </w:t>
      </w:r>
      <w:r>
        <w:t>see our initiatives described in our Sustainability Report.</w:t>
      </w:r>
    </w:p>
    <w:p w14:paraId="73820E3C" w14:textId="77777777" w:rsidR="009C2269" w:rsidRDefault="00000000">
      <w:r>
        <w:t>In addition, we have been UN Global Compact signatories since 2006 and have incorporated the ten principles on human rights, labour, environment and anti-corruption in our policies, so that they are applied throughout our activities.</w:t>
      </w:r>
    </w:p>
    <w:p w14:paraId="5F690816" w14:textId="77777777" w:rsidR="009C2269" w:rsidRDefault="00000000">
      <w:r>
        <w:t>We use the UN Guiding Principles Reporting Framework to monitor our human rights policy, as described in the KBC Group Policy on Human Rights.</w:t>
      </w:r>
    </w:p>
    <w:p w14:paraId="5B680A3C" w14:textId="77777777" w:rsidR="009C2269" w:rsidRDefault="00000000">
      <w:r>
        <w:t>We are thus fully committed to respecting and upholding our employees’ human rights.</w:t>
      </w:r>
    </w:p>
    <w:p w14:paraId="415D7C42" w14:textId="77777777" w:rsidR="009C2269" w:rsidRDefault="00000000">
      <w:r>
        <w:t>We likewise expect our employees to apply and respect human rights in the performance of their duties.</w:t>
      </w:r>
    </w:p>
    <w:p w14:paraId="3A74CF5C" w14:textId="77777777" w:rsidR="009C2269" w:rsidRDefault="00000000">
      <w:r>
        <w:t>These principles are dealt with in more detail in the ‘Code of Conduct for KBC Group Employees’ and the ‘KBC Diversity &amp; Inclusion Policy’ see Strict national and international laws and regulations are in place in all our core countries to protect human rights.</w:t>
      </w:r>
    </w:p>
    <w:p w14:paraId="2E43DF07" w14:textId="77777777" w:rsidR="009C2269" w:rsidRDefault="00000000">
      <w:r>
        <w:t>We also have specific procedures in place to guarantee compliance and to deal with complaints, including the ‘Policy for the Protection of Whistleblowers’.</w:t>
      </w:r>
    </w:p>
    <w:p w14:paraId="7CCFEAE1" w14:textId="77777777" w:rsidR="009C2269" w:rsidRDefault="00000000">
      <w:r>
        <w:t>We expect our clients to at least comply with local and international laws and regulations, and our Compliance department ensures that this is the case.</w:t>
      </w:r>
    </w:p>
    <w:p w14:paraId="4F72A3B0" w14:textId="77777777" w:rsidR="009C2269" w:rsidRDefault="00000000">
      <w:r>
        <w:t>Our day-to-day operations are all performed subject to the KBC Group Policy on Blacklisted Companies, the KBC Group Human Rights Policy and the KBC Group Policy on Controversial Regimes.</w:t>
      </w:r>
    </w:p>
    <w:p w14:paraId="7BFE6AA1" w14:textId="77777777" w:rsidR="009C2269" w:rsidRDefault="00000000">
      <w:r>
        <w:t>Where relevant, we ask our clients to demonstrate their compliance with certain policies and the standards for their sector, in which regard respect for human rights is an important aspect.</w:t>
      </w:r>
    </w:p>
    <w:p w14:paraId="6A4D9E91" w14:textId="00A9F612" w:rsidR="009C2269" w:rsidRDefault="00000000">
      <w:r>
        <w:lastRenderedPageBreak/>
        <w:t>Category B, projects with potential limited adverse environmental and social impact and</w:t>
      </w:r>
      <w:r w:rsidR="008549FC">
        <w:t xml:space="preserve"> </w:t>
      </w:r>
      <w:r>
        <w:t>or consequences that are less severe.</w:t>
      </w:r>
    </w:p>
    <w:p w14:paraId="3EC91916" w14:textId="77777777" w:rsidR="009C2269" w:rsidRDefault="00000000">
      <w:r>
        <w:t>Non-financial risk operational risk, compliance risk, reputational risk, business risk, strategic risk Existence of a robust management framework Group key controls, risk scans, Key Risk Indicators KRIs, etc.</w:t>
      </w:r>
    </w:p>
    <w:p w14:paraId="43D436DC" w14:textId="77777777" w:rsidR="009C2269" w:rsidRDefault="00000000">
      <w:r>
        <w:t>Climate-related and other ESG risks These risks have been integrated into the existing risk management frameworks see above.</w:t>
      </w:r>
    </w:p>
    <w:p w14:paraId="3F4975E8" w14:textId="77777777" w:rsidR="009C2269" w:rsidRDefault="00000000">
      <w:r>
        <w:t>We are making our banking, insurance and asset management products more sustainable to create financial leverage in achieving global climate targets.</w:t>
      </w:r>
    </w:p>
    <w:p w14:paraId="003D12E9" w14:textId="50E1131F" w:rsidR="009C2269" w:rsidRDefault="00000000">
      <w:r>
        <w:t>Start it KBC, Belgium’s largest start-up community, for instance, engaged in a long-term partnership with BeCode, an organisation dedicated to creating accessible tech learning opportunities for all.</w:t>
      </w:r>
    </w:p>
    <w:p w14:paraId="420B2F04" w14:textId="3ACB0C32" w:rsidR="009C2269" w:rsidRDefault="00000000">
      <w:r>
        <w:t>The focus of BeCode and Start it KBC will be on inclusive recruiting, talent development and entrepreneurship.</w:t>
      </w:r>
    </w:p>
    <w:p w14:paraId="4217730A" w14:textId="77777777" w:rsidR="009C2269" w:rsidRDefault="00000000">
      <w:r>
        <w:t>As regards environmental awareness, we naturally remain committed to reducing our own footprint, but we also aim to actively assist our clients in their transition to more sustainable business models.</w:t>
      </w:r>
    </w:p>
    <w:p w14:paraId="18A50C8B" w14:textId="3322E4C1" w:rsidR="009C2269" w:rsidRDefault="00000000">
      <w:r>
        <w:t xml:space="preserve">In response to businesses’ need for more knowhow and time to explore their journey to more sustainable energy management, </w:t>
      </w:r>
      <w:proofErr w:type="spellStart"/>
      <w:r>
        <w:t>ecoWise</w:t>
      </w:r>
      <w:proofErr w:type="spellEnd"/>
      <w:r w:rsidR="004060FC">
        <w:t xml:space="preserve"> </w:t>
      </w:r>
      <w:r>
        <w:t>a KBC subsidiary aimed at helping businesses transition to more sustainable operations with a focus on energy efficiency and renewable energy</w:t>
      </w:r>
      <w:r w:rsidR="004060FC">
        <w:t xml:space="preserve"> </w:t>
      </w:r>
      <w:r>
        <w:t>was established in 2023.</w:t>
      </w:r>
    </w:p>
    <w:p w14:paraId="0EDEF608" w14:textId="3FDD0187" w:rsidR="009C2269" w:rsidRDefault="00000000">
      <w:r>
        <w:t>Specific objectives ‘Best Bank in the Czech Republic’ Global Finance ‘Best Bank in the Czech Republic’ EMEA Finance ‘Best Bank for Sustainable Finance’, ‘Best Trade Finance Provider’ and ‘Best Bank for SMEs in the Czech Republic’ Global Finance ‘Best Private Bank in the Czech Republic’ Euromoney ‘Best Private Bank in the Czech Republic’ PWM</w:t>
      </w:r>
      <w:r w:rsidR="008549FC">
        <w:t xml:space="preserve"> </w:t>
      </w:r>
      <w:r>
        <w:t>The Banker ‘TOP Responsible Large Company in the Czech Republic’ Business for Society To retain our reference position in banking and insurance services by offering our retail, SME and mid-cap clients a hassle-free, no-frills client experience.</w:t>
      </w:r>
    </w:p>
    <w:p w14:paraId="1A9159F7" w14:textId="77777777" w:rsidR="009C2269" w:rsidRDefault="00000000">
      <w:r>
        <w:t>We once again took a number of initiatives in terms of our social engagement, focusing on environmental awareness, financial literacy, entrepreneurship and population ageing.</w:t>
      </w:r>
    </w:p>
    <w:p w14:paraId="55351007" w14:textId="77777777" w:rsidR="009C2269" w:rsidRDefault="00000000">
      <w:r>
        <w:t>To implement a socially responsible approach in all countries, with a particular focus on environmental awareness, financial literacy, entrepreneurship and health.</w:t>
      </w:r>
    </w:p>
    <w:p w14:paraId="6FB4B854" w14:textId="77777777" w:rsidR="009C2269" w:rsidRDefault="00000000">
      <w:r>
        <w:t>We remain committed to supporting women entrepreneurs as well as to promoting various sustainability themes.</w:t>
      </w:r>
    </w:p>
    <w:p w14:paraId="03105BEA" w14:textId="77777777" w:rsidR="009C2269" w:rsidRDefault="00000000">
      <w:r>
        <w:lastRenderedPageBreak/>
        <w:t>The strategy of the risk &amp; compliance function therefore finds its origin in the overall KBC Corporate Strategy &amp; Pearl Culture and its translation into the KBC Risk Appetite, which sets the bar for risk management throughout KBC.</w:t>
      </w:r>
    </w:p>
    <w:p w14:paraId="25A2DAFA" w14:textId="77777777" w:rsidR="009C2269" w:rsidRDefault="00000000">
      <w:r>
        <w:t>The strategy of the risk and compliance functions is based on three key pillars, Support the business, we support, advise and challenge the business both in its everyday activities ‘business as usual’ and in its transformation, aiming to help it keep KBC’s control environment up to standards and respect KBC’s risk appetite at all times.</w:t>
      </w:r>
    </w:p>
    <w:p w14:paraId="73B780C9" w14:textId="77777777" w:rsidR="009C2269" w:rsidRDefault="00000000">
      <w:r>
        <w:t>We are extending and improving our risk and compliance framework for an increasingly digital, interconnected and sustainable future.</w:t>
      </w:r>
    </w:p>
    <w:p w14:paraId="61D4994D" w14:textId="256A2A0B" w:rsidR="009C2269" w:rsidRDefault="00000000">
      <w:r>
        <w:t>Risk governance Our risk governance model includes the following main elements, The Board of Directors, supported by the Risk &amp; Compliance Committee, decides on the risk appetite</w:t>
      </w:r>
      <w:r w:rsidR="004060FC">
        <w:t xml:space="preserve"> </w:t>
      </w:r>
      <w:r>
        <w:t>defining the group’s overall risk playing field and the risk strategy</w:t>
      </w:r>
      <w:r w:rsidR="004060FC">
        <w:t xml:space="preserve"> </w:t>
      </w:r>
      <w:r>
        <w:t>and supervises KBC’s risk exposure in relation to this risk appetite.</w:t>
      </w:r>
    </w:p>
    <w:p w14:paraId="340A0999" w14:textId="77777777" w:rsidR="009C2269" w:rsidRDefault="00000000">
      <w:r>
        <w:t>It is also accountable for having robust governance arrangements in place to ensure that all material risks of KBC group are managed appropriately and for promoting a sound, consistent group-wide risk culture.</w:t>
      </w:r>
    </w:p>
    <w:p w14:paraId="001EF845" w14:textId="77777777" w:rsidR="009C2269" w:rsidRDefault="00000000">
      <w:r>
        <w:t>The risk function develops, imposes and monitors consistent implementation of the Risk Management Framework, describing the processes, methods and approaches to identify, measure and report on risks.</w:t>
      </w:r>
    </w:p>
    <w:p w14:paraId="3F271FB2" w14:textId="77777777" w:rsidR="009C2269" w:rsidRDefault="00000000">
      <w:r>
        <w:t>The compliance function is characterised by its specific status as provided for by law and regulations and described in the Compliance Charter, its place in the organisation chart hierarchically under the CRO and the associated reporting lines reporting to the RCC and even to the Board in certain cases.</w:t>
      </w:r>
    </w:p>
    <w:p w14:paraId="5AF7C515" w14:textId="77777777" w:rsidR="009C2269" w:rsidRDefault="00000000">
      <w:r>
        <w:t>It is responsible for giving reasonable assurance to the Board of Directors that the overall internal control environment is effective, and that effective policies and processes are in place and applied consistently throughout the group.</w:t>
      </w:r>
    </w:p>
    <w:p w14:paraId="6E50A18D" w14:textId="77777777" w:rsidR="009C2269" w:rsidRDefault="00000000">
      <w:r>
        <w:t>It refers to a set of minimum standards and risk methods, processes and tools that must be translated into all risk-type-specific Risk Management Frameworks RMFs and that all entities must adhere to.</w:t>
      </w:r>
    </w:p>
    <w:p w14:paraId="26527FC8" w14:textId="77777777" w:rsidR="009C2269" w:rsidRDefault="00000000">
      <w:r>
        <w:t>This is done with the help of risk measures, which allow us to assess the materiality of risks, to monitor them over time with a frequency that is appropriate for the risk type and to assess the impact of risk management actions.</w:t>
      </w:r>
    </w:p>
    <w:p w14:paraId="45FCE22A" w14:textId="28989DFE" w:rsidR="009C2269" w:rsidRDefault="00000000">
      <w:r>
        <w:t>An overview of the extensive set of risk measures in use in the KBC group both regulatory and Annual Report KBC Group 2023 The Board of Directors annually approves the preliminary risk appetite as input into the APC.</w:t>
      </w:r>
    </w:p>
    <w:p w14:paraId="117D3C2E" w14:textId="77777777" w:rsidR="009C2269" w:rsidRDefault="00000000">
      <w:r>
        <w:lastRenderedPageBreak/>
        <w:t>When the financial planning is approved by the Board, the final risk appetite is also determined, including its translation into concrete limits and targets that safeguard that the risk profile remains within the risk appetite when executing the financial plan.</w:t>
      </w:r>
    </w:p>
    <w:p w14:paraId="0C7A58CD" w14:textId="77777777" w:rsidR="009C2269" w:rsidRDefault="00000000">
      <w:r>
        <w:t>Risk analysis, reporting and follow-up Risk analysis and reporting aim to give management an increased level of transparency by ensuring a comprehensive, forward-looking and ex-post view of the development of the risk profile versus the risk appetite and of the context in which KBC operates.</w:t>
      </w:r>
    </w:p>
    <w:p w14:paraId="4CAD6AC4" w14:textId="77777777" w:rsidR="009C2269" w:rsidRDefault="00000000">
      <w:r>
        <w:t>This holistic risk report consists of risk signals considered material for the group, allowing us to take timely action if and as needed, and of an overview, for all risk types, of the development of various risk measures versus the risk appetite via the ‘health check’ dashboard.</w:t>
      </w:r>
    </w:p>
    <w:p w14:paraId="33E5C72E" w14:textId="77777777" w:rsidR="009C2269" w:rsidRDefault="00000000">
      <w:r>
        <w:t>In order to ensure that risk measures are and remain fit for use and are of high quality, they are subject to strict and robust processes, including adequate documentation and strong governance.</w:t>
      </w:r>
    </w:p>
    <w:p w14:paraId="111711B8" w14:textId="77777777" w:rsidR="009C2269" w:rsidRDefault="00000000">
      <w:r>
        <w:t>The high-level risk appetite objectives, which are annually reviewed and reconfirmed by the Board, are further detailed for each separate risk type via qualitative and quantitative statements and via a risk appetite label, which can be Low, Medium or High.</w:t>
      </w:r>
    </w:p>
    <w:p w14:paraId="3D0F89CC" w14:textId="77777777" w:rsidR="009C2269" w:rsidRDefault="00000000">
      <w:r>
        <w:t>As part of the annual ICAAP, ILAAP and ORSA processes, KBC simulates a once-in-20-years stress event to check and demonstrate that it is able to meet the regulatory capital and liquidity requirements and internal risk appetite targets even under such stressed conditions.</w:t>
      </w:r>
    </w:p>
    <w:p w14:paraId="18263BAA" w14:textId="77777777" w:rsidR="009C2269" w:rsidRDefault="00000000">
      <w:r>
        <w:t>KBC approaches climate risk from a double materiality perspective, concentrating on both, financial materiality outside-in view, looking at the impact of climate change on our business.</w:t>
      </w:r>
    </w:p>
    <w:p w14:paraId="3B034D96" w14:textId="77777777" w:rsidR="000663CE" w:rsidRDefault="00000000">
      <w:r>
        <w:t>In that regard, by signing the Collective Commitment to Climate Action in 2019, we stated publicly that we want to play a leading role and be a significant lever in the process of transitioning to a more sustainable society and a low-carbon economy, including by committing to aligning our portfolios and business strategy with the Paris Agreement to keep global warming below 2°C while striving for a target of 1.</w:t>
      </w:r>
    </w:p>
    <w:p w14:paraId="3913D558" w14:textId="321A6E39" w:rsidR="009C2269" w:rsidRDefault="00000000">
      <w:r>
        <w:t>For a more detailed overview on our ESG risk management processes, please also refer to the risk-type-specific disclosures in the remainder of this section, which includes a dedicated ESG risk section.</w:t>
      </w:r>
    </w:p>
    <w:p w14:paraId="48EC57DA" w14:textId="77777777" w:rsidR="009C2269" w:rsidRDefault="00000000">
      <w:r>
        <w:t>Sustainability has been integrated into the remuneration systems for our employees and especially our senior management.</w:t>
      </w:r>
    </w:p>
    <w:p w14:paraId="2DF31998" w14:textId="77777777" w:rsidR="009C2269" w:rsidRDefault="00000000">
      <w:r>
        <w:t>For more information on sustainability governance, see ‘Our role in society’ and ‘Focus on the climate and the environment’ in the ‘Report to the Board of Directors’ section.</w:t>
      </w:r>
    </w:p>
    <w:p w14:paraId="62299610" w14:textId="77777777" w:rsidR="009C2269" w:rsidRDefault="00000000">
      <w:r>
        <w:lastRenderedPageBreak/>
        <w:t>ESG risk signals are regularly reported to the Executive Committee, the Risk &amp; Compliance Committee and the Board of Directors, via the Integrated Risk Report.</w:t>
      </w:r>
    </w:p>
    <w:p w14:paraId="706EC657" w14:textId="77777777" w:rsidR="009C2269" w:rsidRDefault="00000000">
      <w:r>
        <w:t>In 2021, KBC developed a Climate Risk Impact Map.</w:t>
      </w:r>
    </w:p>
    <w:p w14:paraId="64BBF256" w14:textId="41DD23BD" w:rsidR="009C2269" w:rsidRDefault="00000000">
      <w:r>
        <w:t>Since 2022, the conclusions of the Climate Risk Impact Map have been fed into our main risk management processes, such as risk appetite, stress testing, reporting and our ICAAP</w:t>
      </w:r>
      <w:r w:rsidR="008549FC">
        <w:t xml:space="preserve"> </w:t>
      </w:r>
      <w:r>
        <w:t>ILAAP</w:t>
      </w:r>
      <w:r w:rsidR="008549FC">
        <w:t xml:space="preserve"> </w:t>
      </w:r>
      <w:r>
        <w:t>ORSA process.</w:t>
      </w:r>
    </w:p>
    <w:p w14:paraId="194CBB51" w14:textId="77777777" w:rsidR="009C2269" w:rsidRDefault="00000000">
      <w:r>
        <w:t>An extended elaboration on the Climate Risk Impact Map, its methodology and its results is included in the Risk Report, which is available at These pilot exercises have enabled the extension of the Climate Impact Map to a more general Environmental Risk Impact Map.</w:t>
      </w:r>
    </w:p>
    <w:p w14:paraId="2FBABF62" w14:textId="77777777" w:rsidR="009C2269" w:rsidRDefault="00000000">
      <w:r>
        <w:t>In 2023, we performed several additional identification exercises to increase our understanding of other environmental risks biodiversity loss, pollution and water stress, leveraging the methodology used for the Climate Risk Impact Map hence also considering different physical and transition risk drivers and time horizons.</w:t>
      </w:r>
    </w:p>
    <w:p w14:paraId="2A4CEBD8" w14:textId="77777777" w:rsidR="009C2269" w:rsidRDefault="00000000">
      <w:r>
        <w:t>We continue to take several initiatives to further increase ESG risk awareness, for example by following up on new and changing regulations through a Sustainable Finance Legal Working Group and by organising internal communication and training for risk staff and management.</w:t>
      </w:r>
    </w:p>
    <w:p w14:paraId="64007DC1" w14:textId="1C561807" w:rsidR="009C2269" w:rsidRDefault="00000000">
      <w:r>
        <w:t>We make use of a series of methodologies to strengthen our ability to identify, measure and analyse climate-related risks by leveraging industry practices such as PCAF and PACTA but also by using internally developed tools.</w:t>
      </w:r>
    </w:p>
    <w:p w14:paraId="01E54F7A" w14:textId="77777777" w:rsidR="009C2269" w:rsidRDefault="00000000">
      <w:r>
        <w:t>These provide further insights into the impact of climate change on our business model, as well as the impact of our lending, investment and insurance activities on the environment.</w:t>
      </w:r>
    </w:p>
    <w:p w14:paraId="5526A02F" w14:textId="77777777" w:rsidR="009C2269" w:rsidRDefault="00000000">
      <w:r>
        <w:t>When integrating climate and other ESG risks into our risk appetite process, we not only focus on short-term impacts, but also take extended time horizons into consideration.</w:t>
      </w:r>
    </w:p>
    <w:p w14:paraId="45DC1301" w14:textId="77777777" w:rsidR="009C2269" w:rsidRDefault="00000000">
      <w:r>
        <w:t>KBC’s risk appetite is supported by policies and sustainability targets see ‘Our role in society’ in the ‘Report of the Board of Directors’ section.</w:t>
      </w:r>
    </w:p>
    <w:p w14:paraId="26D1D55F" w14:textId="22DAD55E" w:rsidR="009C2269" w:rsidRDefault="00000000">
      <w:r>
        <w:t>In our policies for sustainable and responsible lending, insurance, advisory services and investments, for instance, we identify controversial activities with respect to the environment including climate and biodiversity, human rights, business ethics and sensitive</w:t>
      </w:r>
      <w:r w:rsidR="008549FC">
        <w:t xml:space="preserve"> </w:t>
      </w:r>
      <w:r>
        <w:t>controversial societal issues.</w:t>
      </w:r>
    </w:p>
    <w:p w14:paraId="5AF36657" w14:textId="77777777" w:rsidR="009C2269" w:rsidRDefault="00000000">
      <w:r>
        <w:t>Risk analysis, monitoring and follow-up Climate-related and environmental data are increasingly included in both internal and external reporting.</w:t>
      </w:r>
    </w:p>
    <w:p w14:paraId="46AA06B9" w14:textId="77777777" w:rsidR="009C2269" w:rsidRDefault="00000000">
      <w:r>
        <w:t>Both the internal and external environment are scanned for events or developments that have already occurred or could occur and which directly or indirectly have or could have a significant impact on credit quality.</w:t>
      </w:r>
    </w:p>
    <w:p w14:paraId="03D0CF5D" w14:textId="77777777" w:rsidR="009C2269" w:rsidRDefault="00000000">
      <w:r>
        <w:lastRenderedPageBreak/>
        <w:t>Together with ‘probability of default’ and ‘exposure at default’, measures such as ‘expected loss’ and ‘loss given default’ form the building blocks for calculating the regulatory capital requirements for credit risk, as KBC has opted to use the Internal Ratings-Based approach for Credit risk Credit risk is the risk related to non-payment or non-performance by a contracting party, due to that party’s insolvency or lack of willingness to pay or perform, or to events or measures taken by the political or monetary authorities of a particular country.</w:t>
      </w:r>
    </w:p>
    <w:p w14:paraId="7CAFC254" w14:textId="77777777" w:rsidR="009C2269" w:rsidRDefault="00000000">
      <w:r>
        <w:t>These White Papers also cover the impact of sector-specific challenges, technological developments and evolving regulations on KBC’s loan portfolios as well as possible risk-mitigating measures.</w:t>
      </w:r>
    </w:p>
    <w:p w14:paraId="7DBEFC69" w14:textId="77777777" w:rsidR="009C2269" w:rsidRDefault="00000000">
      <w:r>
        <w:t>In these White papers, we also take a progressive approach towards environmental objectives other than climate change.</w:t>
      </w:r>
    </w:p>
    <w:p w14:paraId="22E63791" w14:textId="77777777" w:rsidR="009C2269" w:rsidRDefault="00000000">
      <w:r>
        <w:t>For a subset of these sectors, KBC has set climate targets and reports on the progress with respect to these targets.</w:t>
      </w:r>
    </w:p>
    <w:p w14:paraId="74EE6D0B" w14:textId="77777777" w:rsidR="009C2269" w:rsidRDefault="00000000">
      <w:r>
        <w:t>Also, Internal Carbon Pricing is leveraged to assess the financial impact of current and potentially upcoming carbon regulations on greenhouse gas-intensive businesses.</w:t>
      </w:r>
    </w:p>
    <w:p w14:paraId="79DA481D" w14:textId="77777777" w:rsidR="009C2269" w:rsidRDefault="00000000">
      <w:r>
        <w:t>To understand how business clients deal with sustainability challenges and to support them in this transition, client dialogues are an essential part of the assessment.</w:t>
      </w:r>
    </w:p>
    <w:p w14:paraId="460D69CF" w14:textId="77777777" w:rsidR="009C2269" w:rsidRDefault="00000000">
      <w:r>
        <w:t>This analysis determines whether the large companies in our loan portfolio are following a transition path in line with targets set by various climate transition scenarios.</w:t>
      </w:r>
    </w:p>
    <w:p w14:paraId="0BA10BFC" w14:textId="77777777" w:rsidR="009C2269" w:rsidRDefault="00000000">
      <w:r>
        <w:t>More information on the original assessment is available in the 2021 Risk Report at 99 Annual Report KBC Group 2023 In general, the insights gained from the above-mentioned methodological tracks are valuable for identifying hot spots in KBC’s loan portfolio, as input for target setting and climate risk stress testing and for initiating policy adjustments, where necessary.</w:t>
      </w:r>
    </w:p>
    <w:p w14:paraId="3C557799" w14:textId="77777777" w:rsidR="009C2269" w:rsidRDefault="00000000">
      <w:r>
        <w:t>They are also part of KBC’s continuous efforts to further integrate climate risk into its credit assessment processes and modelling.</w:t>
      </w:r>
    </w:p>
    <w:p w14:paraId="35D9F323" w14:textId="77777777" w:rsidR="009C2269" w:rsidRDefault="00000000">
      <w:r>
        <w:t>More information can be found in the Risk Report, available at Impact of external developments on credit risk While the impacts of the coronavirus pandemic and supply chain dislocation during the ensuing economic recovery have subsided and Covid restrictions have been phased out, the continuing Russia-Ukraine conflict and the associated disruption of worldwide energy markets, rapidly rising inflationary pressures and increasing interest rates presented new challenges for credit risk management.</w:t>
      </w:r>
    </w:p>
    <w:p w14:paraId="0551554B" w14:textId="77777777" w:rsidR="009C2269" w:rsidRDefault="00000000">
      <w:r>
        <w:t>The governance, rules and procedures and how asset and liability risk management is performed throughout the group are outlined in the Non-Trading Market Risk Framework.</w:t>
      </w:r>
    </w:p>
    <w:p w14:paraId="1C41CDFA" w14:textId="7878855B" w:rsidR="009C2269" w:rsidRDefault="00000000">
      <w:r>
        <w:t xml:space="preserve">The building blocks for managing market risk in non-trading activities Risk identification, </w:t>
      </w:r>
      <w:r w:rsidR="00A542D4">
        <w:t>t</w:t>
      </w:r>
      <w:r>
        <w:t xml:space="preserve">o identify market risks in the nontrading portfolios </w:t>
      </w:r>
      <w:proofErr w:type="gramStart"/>
      <w:r>
        <w:t>a number of</w:t>
      </w:r>
      <w:proofErr w:type="gramEnd"/>
      <w:r>
        <w:t xml:space="preserve"> tools are used, including the </w:t>
      </w:r>
      <w:r>
        <w:lastRenderedPageBreak/>
        <w:t>New and Active Products Process, the Environmental Risk Impact Map, the risk scan, and early warning processes triggered by recurrent monitoring.</w:t>
      </w:r>
    </w:p>
    <w:p w14:paraId="2387BE59" w14:textId="77777777" w:rsidR="009C2269" w:rsidRDefault="00000000">
      <w:r>
        <w:t>For this purpose, both the internal and external environment is scanned for events and developments that could have an impact on our non-trading books.</w:t>
      </w:r>
    </w:p>
    <w:p w14:paraId="299E1D99" w14:textId="77777777" w:rsidR="009C2269" w:rsidRDefault="00000000">
      <w:r>
        <w:t>Measures are complemented by stress tests, covering back testing of pre-payments, net interest income results under various scenarios, or the impact on regulatory capital stemming from interest, spread or equity risk residing within the banking books.</w:t>
      </w:r>
    </w:p>
    <w:p w14:paraId="31E23214" w14:textId="77777777" w:rsidR="009C2269" w:rsidRDefault="00000000">
      <w:r>
        <w:t>ESG in market risk non-trading management Within the ALM scope, ESG risk, specifically climate and other environmental risks, is considered for the portfolios of sovereign and corporate bonds, equity investment, and direct real estate.</w:t>
      </w:r>
    </w:p>
    <w:p w14:paraId="4DA7E548" w14:textId="77777777" w:rsidR="009C2269" w:rsidRDefault="00000000">
      <w:r>
        <w:t>The bond and equity portfolios are monitored via climate risk KRIs to ensure positions do not become more susceptible to transition risk.</w:t>
      </w:r>
    </w:p>
    <w:p w14:paraId="3D13E7F4" w14:textId="77777777" w:rsidR="009C2269" w:rsidRDefault="00000000">
      <w:r>
        <w:t>Insights are gathered and reported in alignment with other risk types in the Climate Risk Impact Map see ‘ESG in our risk management’.</w:t>
      </w:r>
    </w:p>
    <w:p w14:paraId="3FB64B97" w14:textId="77777777" w:rsidR="009C2269" w:rsidRDefault="00000000">
      <w:r>
        <w:t>More information can be found in the Risk Report, at Impact of external developments on market risk in the non-trading activities After the significant rate hikes in 2022, 2023 was characterised by a normalisation of interest rate s after years of low rates.</w:t>
      </w:r>
    </w:p>
    <w:p w14:paraId="4F7EB26D" w14:textId="77777777" w:rsidR="009C2269" w:rsidRDefault="00000000">
      <w:r>
        <w:t>Risk analysis, reporting and follow-up, operational risk analysis and reporting aim to give management a transparent and comprehensive, forward-looking and ex-post view on the development of the risk profile and the context in which KBC operates.</w:t>
      </w:r>
    </w:p>
    <w:p w14:paraId="4A8FDFE1" w14:textId="77777777" w:rsidR="009C2269" w:rsidRDefault="00000000">
      <w:r>
        <w:t>The GITCO serves as the governance structure to ensure alignment on Information Security and IT strategy across the group.</w:t>
      </w:r>
    </w:p>
    <w:p w14:paraId="0C8CA43E" w14:textId="77777777" w:rsidR="009C2269" w:rsidRDefault="00000000">
      <w:r>
        <w:t>To ensure that Information Security and Information Technology risks are effectively mitigated, a number of challenges are performed throughout the group on a regular basis, such as ethical hacking exercises, technical Cyber Resilience &amp; Readiness Testing, detailed investigations, employee phishing tests, crisis simulations and other incident drills.</w:t>
      </w:r>
    </w:p>
    <w:p w14:paraId="0A858869" w14:textId="77777777" w:rsidR="009C2269" w:rsidRDefault="00000000">
      <w:r>
        <w:t>Regulatory requirements regarding follow-up, measurement and reporting of outsourcing risk have increased over the years.</w:t>
      </w:r>
    </w:p>
    <w:p w14:paraId="3FCEEC3A" w14:textId="77777777" w:rsidR="009C2269" w:rsidRDefault="00000000">
      <w:r>
        <w:t>As contracting external service providers is an essential part of operational processes and intra-group outsourcing is an important aspect of the KBC strategy, the need to focus on outsourcing risk remains a key element of the group-wide risk management at KBC.</w:t>
      </w:r>
    </w:p>
    <w:p w14:paraId="00493CE0" w14:textId="77777777" w:rsidR="009C2269" w:rsidRDefault="00000000">
      <w:r>
        <w:t>Both policy and standards are supported by first and second lines of defence guidance to ensure a standardised approach, in compliance with the EBA Guidelines on Outsourcing, throughout the whole KBC group.</w:t>
      </w:r>
    </w:p>
    <w:p w14:paraId="14B0FBA6" w14:textId="77777777" w:rsidR="009C2269" w:rsidRDefault="00000000">
      <w:r>
        <w:lastRenderedPageBreak/>
        <w:t>Qualitative risk governance of KBC outsourced activities is ensured by regular risk assessments including a set of mandatory sub-risks, Process, IT, Information Security, ESG, Model, Fraud, Legal, Concentration, Offshoring and Step-in, their frequency being defined by the criticality of the outsourced activity.</w:t>
      </w:r>
    </w:p>
    <w:p w14:paraId="64B2D177" w14:textId="77777777" w:rsidR="009C2269" w:rsidRDefault="00000000">
      <w:r>
        <w:t>Model risk management KBC’s data-driven strategy is underpinned by an expanding set of advanced mathematical, statistical and numerical models to support decision-making, measure and manage risk, manage businesses and streamline processes.</w:t>
      </w:r>
    </w:p>
    <w:p w14:paraId="3B1AB959" w14:textId="77777777" w:rsidR="009C2269" w:rsidRDefault="00000000">
      <w:r>
        <w:t>KBC’s model risk management standards establish a framework for identifying, understanding and efficiently managing model risk, similar to any other risk type.</w:t>
      </w:r>
    </w:p>
    <w:p w14:paraId="0B4565B3" w14:textId="77777777" w:rsidR="009C2269" w:rsidRDefault="00000000">
      <w:r>
        <w:t>Compliance risk is covered by the Compliance Charter, the Integrity Policy and the Group Compliance Rules.</w:t>
      </w:r>
    </w:p>
    <w:p w14:paraId="005B39C1" w14:textId="77777777" w:rsidR="009C2269" w:rsidRDefault="00000000">
      <w:r>
        <w:t>This preventive role is put into practice by Group Compliance Rules that define minimum requirements for the entire group, the provision of procedures and instructions, tailored training courses, daily advice and independent opinions in the New and Active Products Process, information on new regulatory developments to the governance bodies in support of the group strategy and the implementation of legal and regulatory requirements by the various businesses concerned.</w:t>
      </w:r>
    </w:p>
    <w:p w14:paraId="46C35DA8" w14:textId="2F9B5E31" w:rsidR="009C2269" w:rsidRDefault="00000000">
      <w:r>
        <w:t xml:space="preserve">On the other </w:t>
      </w:r>
      <w:proofErr w:type="gramStart"/>
      <w:r>
        <w:t>hand</w:t>
      </w:r>
      <w:proofErr w:type="gramEnd"/>
      <w:r w:rsidR="004060FC">
        <w:t xml:space="preserve"> </w:t>
      </w:r>
      <w:r>
        <w:t xml:space="preserve">as the second line of </w:t>
      </w:r>
      <w:proofErr w:type="spellStart"/>
      <w:r>
        <w:t>defence</w:t>
      </w:r>
      <w:proofErr w:type="spellEnd"/>
      <w:r w:rsidR="004060FC">
        <w:t xml:space="preserve"> </w:t>
      </w:r>
      <w:r>
        <w:t>it carries out risk-based monitoring to ensure the adequacy of the internal control system.</w:t>
      </w:r>
    </w:p>
    <w:p w14:paraId="4FECC6E1" w14:textId="77777777" w:rsidR="009C2269" w:rsidRDefault="00000000">
      <w:r>
        <w:t>More specifically, monitoring allows it to verify whether legal and regulatory requirements pertaining to the different compliance domains covered are correctly implemented in the business.</w:t>
      </w:r>
    </w:p>
    <w:p w14:paraId="49968D97" w14:textId="77777777" w:rsidR="009C2269" w:rsidRDefault="00000000">
      <w:r>
        <w:t>Moreover, quality controls are performed in the main group entities to assure the Board of Directors that the compliance risk is properly assessed by the local Compliance function.</w:t>
      </w:r>
    </w:p>
    <w:p w14:paraId="2FC2AA41" w14:textId="77777777" w:rsidR="009C2269" w:rsidRDefault="00000000">
      <w:r>
        <w:t>Since 2020, significant efforts have been concentrated on the scalable and future-proof features of the Compliance function.</w:t>
      </w:r>
    </w:p>
    <w:p w14:paraId="5A0A55A1" w14:textId="77777777" w:rsidR="009C2269" w:rsidRDefault="00000000">
      <w:r>
        <w:t>In the past few years, resources were increased within the Compliance function to enable a strong reinforcement of the Compliance Monitoring Programme and to keep pace with the expanding regulatory requirements and fast strategic and business developments.</w:t>
      </w:r>
    </w:p>
    <w:p w14:paraId="5983EF68" w14:textId="77777777" w:rsidR="009C2269" w:rsidRDefault="00000000">
      <w:r>
        <w:t>The values defended by the group and the key requirements are set out in detail in the Integrity Policy.</w:t>
      </w:r>
    </w:p>
    <w:p w14:paraId="35845487" w14:textId="77777777" w:rsidR="009C2269" w:rsidRDefault="00000000">
      <w:r>
        <w:t>Efforts are continuously made to adapt the organisation to a constantly changing regulatory environment, particularly with regard to clients who present an increased risk and for whom additional information is required.</w:t>
      </w:r>
    </w:p>
    <w:p w14:paraId="30ABA087" w14:textId="77777777" w:rsidR="009C2269" w:rsidRDefault="00000000">
      <w:r>
        <w:lastRenderedPageBreak/>
        <w:t>The Compliance function is also closely following the EU developments at the level of the new AML Authority and regulatory provisions expected in 2024.</w:t>
      </w:r>
    </w:p>
    <w:p w14:paraId="433A1A95" w14:textId="40485B50" w:rsidR="009C2269" w:rsidRDefault="00000000">
      <w:r>
        <w:t>Special Compliance risk is the risk that a judicial, administrative or regulatory sanction is imposed on an institution and</w:t>
      </w:r>
      <w:r w:rsidR="008549FC">
        <w:t xml:space="preserve"> </w:t>
      </w:r>
      <w:r>
        <w:t>or its employees because of non-compliance with the laws and regulations pertaining to the compliance domains, resulting in loss of reputation and potential financial loss.</w:t>
      </w:r>
    </w:p>
    <w:p w14:paraId="271AA12B" w14:textId="77777777" w:rsidR="009C2269" w:rsidRDefault="00000000">
      <w:r>
        <w:t>This loss of reputation can also be the result of non-compliance with the internal policy in this regard and with the institution’s own values and codes of conduct in relation to the integrity of its activities.</w:t>
      </w:r>
    </w:p>
    <w:p w14:paraId="43A5BCB2" w14:textId="77777777" w:rsidR="009C2269" w:rsidRDefault="00000000">
      <w:r>
        <w:t>The control functions including Compliance ensure that, under the New and Active Products Process, the launch of any new products conforms with the many legal and regulatory provisions in place, such as MiFID II, the Insurance Distribution Directive and other local and EU Regulations, as well as being in line with KBC’s values.</w:t>
      </w:r>
    </w:p>
    <w:p w14:paraId="4844DCD8" w14:textId="77777777" w:rsidR="009C2269" w:rsidRDefault="00000000">
      <w:r>
        <w:t>In the context of KBC’s data-driven strategy, it is crucial to pay attention to all upcoming regulatory developments in the data protection domain, as there are many.</w:t>
      </w:r>
    </w:p>
    <w:p w14:paraId="14D91EB1" w14:textId="77777777" w:rsidR="009C2269" w:rsidRDefault="00000000">
      <w:r>
        <w:t>To manage reputational risk, we remain focused on sustainable and profitable growth and promote a strong corporate culture that encourages responsible behaviour, including social and environmental responsibilities.</w:t>
      </w:r>
    </w:p>
    <w:p w14:paraId="687B2611" w14:textId="77777777" w:rsidR="009C2269" w:rsidRDefault="00000000">
      <w:r>
        <w:t>Proactive and re-active management of reputational risk is the responsibility of business, supported by specialist units including Group Communication, Investor Relations and Group Compliance.</w:t>
      </w:r>
    </w:p>
    <w:p w14:paraId="57705C1A" w14:textId="77777777" w:rsidR="009C2269" w:rsidRDefault="00000000">
      <w:r>
        <w:t>Cyber risk, Compliance risks including Anti-Money Laundering, GDPR and Embargo and Conduct risk have, for some years, been identified as top risks by the Executive Committee and Board of Directors.</w:t>
      </w:r>
    </w:p>
    <w:p w14:paraId="0C8A29F0" w14:textId="77777777" w:rsidR="009C2269" w:rsidRDefault="00000000">
      <w:r>
        <w:t>Also, sustainable investments and ESG characteristics in MiFID and IDD are closely followed from the Compliance perspective, as well as the sustainable finance strategy in general.</w:t>
      </w:r>
    </w:p>
    <w:p w14:paraId="2B77A385" w14:textId="77777777" w:rsidR="009C2269" w:rsidRDefault="00000000">
      <w:r>
        <w:t>Particular attention is devoted to the adequate ‘green’ labelling of newly developed products, aligned with regulatory frameworks such as the EU Taxonomy and the International Capital Markets Association Green Bond framework.</w:t>
      </w:r>
    </w:p>
    <w:p w14:paraId="27C8FC29" w14:textId="77777777" w:rsidR="009C2269" w:rsidRDefault="00000000">
      <w:r>
        <w:t>To manage reputational risks, KBC promotes a strong corporate culture that encourages responsible behaviour throughout the entire organisation, including in terms of social and environmental responsibility.</w:t>
      </w:r>
    </w:p>
    <w:p w14:paraId="647E7860" w14:textId="77777777" w:rsidR="009C2269" w:rsidRDefault="00000000">
      <w:r>
        <w:t>In order to fulfil our role in society, we aim to support our clients in the transition towards a low-carbon economy throughout our core activities.</w:t>
      </w:r>
    </w:p>
    <w:p w14:paraId="62DCDFA7" w14:textId="77777777" w:rsidR="009C2269" w:rsidRDefault="00000000">
      <w:r>
        <w:lastRenderedPageBreak/>
        <w:t>Our sustainability policies, restrictions and targets define a clear risk playing field with regard to ESG risks.</w:t>
      </w:r>
    </w:p>
    <w:p w14:paraId="4E7CEF45" w14:textId="77777777" w:rsidR="009C2269" w:rsidRDefault="00000000">
      <w:r>
        <w:t>Setting and cascading risk appetite, the risk appetite for market risk in trading activities is set in line with the overall requirements as defined in our overarching risk management framework and is overseen by the GMC via a risk limit framework consisting of a hierarchy of limits and early warning indicators.</w:t>
      </w:r>
    </w:p>
    <w:p w14:paraId="29F40F99" w14:textId="77777777" w:rsidR="009C2269" w:rsidRDefault="00000000">
      <w:r>
        <w:t>Regulatory capital for business lines not included in the Approved Internal Model is measured according to the Standardised Approach.</w:t>
      </w:r>
    </w:p>
    <w:p w14:paraId="130718C8" w14:textId="77777777" w:rsidR="009C2269" w:rsidRDefault="00000000">
      <w:r>
        <w:t>Despite this immateriality, the ALCO is regularly informed about developments in ESG risk in the context of liquidity risk management.</w:t>
      </w:r>
    </w:p>
    <w:p w14:paraId="124E6CFA" w14:textId="77777777" w:rsidR="009C2269" w:rsidRDefault="00000000">
      <w:r>
        <w:t>More information is available in the Risk Report, available at Impact of external developments on liquidity risk The significant increase in short-term interest rates following the monetary policy tightening implemented by the ECB as of 2022 impacted the composition of the deposit base at KBC Group.</w:t>
      </w:r>
    </w:p>
    <w:p w14:paraId="65B76EC3" w14:textId="77777777" w:rsidR="009C2269" w:rsidRDefault="00000000">
      <w:r>
        <w:t>The Competence Centre is responsible for providing support for local implementation and for the functional direction of the insurance risk management processes of the insurance subsidiaries.</w:t>
      </w:r>
    </w:p>
    <w:p w14:paraId="492114AB" w14:textId="77777777" w:rsidR="009C2269" w:rsidRDefault="00000000">
      <w:r>
        <w:t>Risk measurement, technical insurance risk is measured by means of both regulatory measures, such as Solvency Capital Requirement and Best Estimate valuation of insurance liabilities, and internal measures on, for example, economic profitability of insurance portfolios and non-life capital requirements based on internal stochastic models.</w:t>
      </w:r>
    </w:p>
    <w:p w14:paraId="1522B832" w14:textId="77777777" w:rsidR="009C2269" w:rsidRDefault="00000000">
      <w:r>
        <w:t>In addition, deep dives are performed to gain further insight into technical insurance risk and the impact of climate change.</w:t>
      </w:r>
    </w:p>
    <w:p w14:paraId="700101FF" w14:textId="77777777" w:rsidR="009C2269" w:rsidRDefault="00000000">
      <w:r>
        <w:t>Strategic sectoral projects so-called ‘White Papers’ are set up, where relevant also covering an assessment of the impact of climate change on specific KBC insurance portfolios such as insurance for real estate, mobility and agriculture.</w:t>
      </w:r>
    </w:p>
    <w:p w14:paraId="71B67770" w14:textId="77777777" w:rsidR="009C2269" w:rsidRDefault="00000000">
      <w:r>
        <w:t>To support stability in earnings and capital for our insurance business, appropriate risk mitigation is implemented by reinsurance programmes protecting against the impact of Technical insurance risk Technical insurance risk is the risk of loss due to reinsurance liabilities or of adverse developments in the value of re insurance liabilities related to non-life, life and health reinsurance contracts, stemming from uncertainty about the frequency and severity of losses.</w:t>
      </w:r>
    </w:p>
    <w:p w14:paraId="001101CC" w14:textId="65C6FC72" w:rsidR="009C2269" w:rsidRDefault="00000000">
      <w:r>
        <w:t xml:space="preserve">Since 31 December 2021, the fully loaded figures immediately reflect the interim or annual profit, </w:t>
      </w:r>
      <w:proofErr w:type="gramStart"/>
      <w:r>
        <w:t>taking into account</w:t>
      </w:r>
      <w:proofErr w:type="gramEnd"/>
      <w:r>
        <w:t xml:space="preserve"> our Dividend Policy and</w:t>
      </w:r>
      <w:r w:rsidR="008549FC">
        <w:t xml:space="preserve"> </w:t>
      </w:r>
      <w:r>
        <w:t>or any dividend proposal</w:t>
      </w:r>
      <w:r w:rsidR="008549FC">
        <w:t xml:space="preserve"> </w:t>
      </w:r>
      <w:r>
        <w:t>decision by the Board of Directors.</w:t>
      </w:r>
    </w:p>
    <w:p w14:paraId="277E9733" w14:textId="77777777" w:rsidR="009C2269" w:rsidRDefault="00000000">
      <w:r>
        <w:lastRenderedPageBreak/>
        <w:t>It aims to achieve the best possible balance between regulatory requirements, rating agencies’ views, market expectations and management ambitions.</w:t>
      </w:r>
    </w:p>
    <w:p w14:paraId="3E7B39D3" w14:textId="77777777" w:rsidR="009C2269" w:rsidRDefault="00000000">
      <w:r>
        <w:t>In 2006, she became an audit partner at Deloitte in Prague, where she was responsible for the audits of several major financial institutions.</w:t>
      </w:r>
    </w:p>
    <w:p w14:paraId="186620E8" w14:textId="77777777" w:rsidR="009C2269" w:rsidRDefault="00000000">
      <w:r>
        <w:t>Between 2018 and 2022, she combined this responsibility with the role of Chief Strategy Officer of Deloitte Europe, overseeing the development and implementation of the global strategy across all of Deloitte’s European business units Audit, Tax and Legal, Consulting, Financial Advisory and Risk Advisory.</w:t>
      </w:r>
    </w:p>
    <w:p w14:paraId="2109222D" w14:textId="77777777" w:rsidR="009C2269" w:rsidRDefault="00000000">
      <w:r>
        <w:t>Given the long-term nature of their commitment, the core shareholders inherently pay particular attention to value creation, a solid capital base, prudent risk management and sustainability.</w:t>
      </w:r>
    </w:p>
    <w:p w14:paraId="7670CD2B" w14:textId="77777777" w:rsidR="009C2269" w:rsidRDefault="00000000">
      <w:r>
        <w:t>The aim of this policy is to guarantee diversity in terms of know-how, experience, gender and geographical background.</w:t>
      </w:r>
    </w:p>
    <w:p w14:paraId="607BECFF" w14:textId="77777777" w:rsidR="009C2269" w:rsidRDefault="00000000">
      <w:r>
        <w:t>It aims to ensure that the Board and the EC can both fall back on a broad base of relevant competences and know-how and receive diverse opinions and input for their decision-making process.</w:t>
      </w:r>
    </w:p>
    <w:p w14:paraId="0D3FCE94" w14:textId="77777777" w:rsidR="009C2269" w:rsidRDefault="00000000">
      <w:r>
        <w:t>The policy also stipulates that, At least one-third of the Board’s members must be of a different gender than the other members.</w:t>
      </w:r>
    </w:p>
    <w:p w14:paraId="63E4B25F" w14:textId="77777777" w:rsidR="009C2269" w:rsidRDefault="00000000">
      <w:r>
        <w:t>The Board will see to it that this diversity policy is applied properly when deciding on the profile of a new director or a new member of the EC.</w:t>
      </w:r>
    </w:p>
    <w:p w14:paraId="579BBF9A" w14:textId="77777777" w:rsidR="009C2269" w:rsidRDefault="00000000">
      <w:r>
        <w:t>The other member of the Remuneration Committee is, Philippe Vlerick non-executive director, who holds a Bachelor’s Degree in Philosophy, a Master’s Degree in Law KU Leuven, a Master’s Degree in Management Vlerick Business School in Ghent and an MBA degree Indiana University, Bloomington, USA.</w:t>
      </w:r>
    </w:p>
    <w:p w14:paraId="0D124FAA" w14:textId="77777777" w:rsidR="009C2269" w:rsidRDefault="00000000">
      <w:r>
        <w:t>In this way, three independent directors are involved in its activities.</w:t>
      </w:r>
    </w:p>
    <w:p w14:paraId="1286E2A2" w14:textId="77777777" w:rsidR="009C2269" w:rsidRDefault="00000000">
      <w:r>
        <w:t>In addition, the Board focused on the strategy and specific challenges for the different areas of activity.</w:t>
      </w:r>
    </w:p>
    <w:p w14:paraId="5BB12B54" w14:textId="77777777" w:rsidR="009C2269" w:rsidRDefault="00000000">
      <w:r>
        <w:t>The following topics were addressed, ESG, money laundering regulations, IFRS 17, regulatory framework and regulatory developments, data protection, cybersecurity and operational resilience.</w:t>
      </w:r>
    </w:p>
    <w:p w14:paraId="36D8247C" w14:textId="77777777" w:rsidR="009C2269" w:rsidRDefault="00000000">
      <w:r>
        <w:t>Risk &amp; Compliance Committee The RCC advises the Board on current and future risk tolerance and on risk strategy, and assists it in supervising how the EC implements this strategy.</w:t>
      </w:r>
    </w:p>
    <w:p w14:paraId="1CFC8343" w14:textId="77777777" w:rsidR="009C2269" w:rsidRDefault="00000000">
      <w:r>
        <w:t xml:space="preserve">Measures regarding insider dealing and market manipulation The Dealing Code requires a list of key employees to be drawn up, annual blocking periods to be set, and transactions by </w:t>
      </w:r>
      <w:r>
        <w:lastRenderedPageBreak/>
        <w:t>persons with managerial responsibility and with persons connected with them to be reported to the Belgian Financial Services and Markets Authority .</w:t>
      </w:r>
    </w:p>
    <w:p w14:paraId="1E446F7E" w14:textId="77777777" w:rsidR="009C2269" w:rsidRDefault="00000000">
      <w:r>
        <w:t>The KBC group has a dual governance structure based on the Belgian model, The Board is responsible for defining general strategy and policy.</w:t>
      </w:r>
    </w:p>
    <w:p w14:paraId="4275F98F" w14:textId="254FA0D8" w:rsidR="009C2269" w:rsidRDefault="00000000">
      <w:r>
        <w:t>Honesty, integrity, transparency and confidentiality, together with sound risk management, are part of the strict ethical standards that KBC stands for</w:t>
      </w:r>
      <w:r w:rsidR="004060FC">
        <w:t xml:space="preserve"> </w:t>
      </w:r>
      <w:r>
        <w:t>both in the letter and the spirit of the regulations.</w:t>
      </w:r>
    </w:p>
    <w:p w14:paraId="42F3B30C" w14:textId="3FFF6D03" w:rsidR="009C2269" w:rsidRDefault="00000000">
      <w:r>
        <w:t>Respecting the governance aspects of CRD IV and V, Solvency II and</w:t>
      </w:r>
      <w:r w:rsidR="008549FC">
        <w:t xml:space="preserve"> </w:t>
      </w:r>
      <w:r>
        <w:t>or local laws, including the separation of duties between executive management and supervisory bodies, the functioning of committees, incompatibility of offices, sound remuneration policy, ‘Fit &amp; Proper’ requirements, conflicts of interest, loans made to members of the EC and directors and persons associated with them and to shareholders with a significant participation, and the provision of advice on outsourcing and sustainability regulations.</w:t>
      </w:r>
    </w:p>
    <w:p w14:paraId="1A28B3DF" w14:textId="77777777" w:rsidR="009C2269" w:rsidRDefault="00000000">
      <w:r>
        <w:t>The integrity policy also maintains a strong and comprehensive focus on ethics and combating fraud, By running focused campaigns and training courses, KBC proactively ensures that this ethical attitude is ingrained in the DNA of each employee.</w:t>
      </w:r>
    </w:p>
    <w:p w14:paraId="268923B1" w14:textId="77777777" w:rsidR="009C2269" w:rsidRDefault="00000000">
      <w:r>
        <w:t>The elements of this policy are firmly embedded in the ‘KBC Group Ethics &amp; Fraud Policy’ and various other policy guidelines referred to in this section.</w:t>
      </w:r>
    </w:p>
    <w:p w14:paraId="762B012F" w14:textId="77777777" w:rsidR="009C2269" w:rsidRDefault="00000000">
      <w:r>
        <w:t>The ‘Policy for the Protection of Whistleblowers in the KBC group’ ensures that employees and former employees or external parties who act in good faith to report fraud and gross malpractice are protected see below.</w:t>
      </w:r>
    </w:p>
    <w:p w14:paraId="6AD957A4" w14:textId="77777777" w:rsidR="009C2269" w:rsidRDefault="00000000">
      <w:r>
        <w:t>Our principles are set out in the integrity policy, as well as in specific codes, procedures and codes of conduct, and are also incorporated into specific training courses and campaigns for staff.</w:t>
      </w:r>
    </w:p>
    <w:p w14:paraId="4B6FE3D7" w14:textId="77777777" w:rsidR="009C2269" w:rsidRDefault="00000000">
      <w:r>
        <w:t>One of the topics covered by the integrity policy is ‘conduct risk’, a concept that identifies the risk arising from the inappropriate provision of financial services.</w:t>
      </w:r>
    </w:p>
    <w:p w14:paraId="1E8479BD" w14:textId="77777777" w:rsidR="009C2269" w:rsidRDefault="00000000">
      <w:r>
        <w:t>Extensive, group-wide communication campaigns and training courses on dealing with dilemmas ensure that the necessary awareness of this risk is in place.</w:t>
      </w:r>
    </w:p>
    <w:p w14:paraId="19B6C514" w14:textId="0504462C" w:rsidR="009C2269" w:rsidRDefault="00000000">
      <w:r>
        <w:t>The integrity policy focuses primarily on the following areas, for which</w:t>
      </w:r>
      <w:r w:rsidR="004060FC">
        <w:t xml:space="preserve"> </w:t>
      </w:r>
      <w:r>
        <w:t>where appropriate</w:t>
      </w:r>
      <w:r w:rsidR="004060FC">
        <w:t xml:space="preserve"> </w:t>
      </w:r>
      <w:r>
        <w:t>specific group-wide compliance rules have been issued</w:t>
      </w:r>
      <w:r w:rsidR="00806B9A">
        <w:t xml:space="preserve"> for p</w:t>
      </w:r>
      <w:r>
        <w:t>reventing the financial system being used for laundering money and funding terrorism, observing embargoes, and preventing proliferation financing of weapons of mass destruction.</w:t>
      </w:r>
    </w:p>
    <w:p w14:paraId="13B35F2B" w14:textId="77777777" w:rsidR="009C2269" w:rsidRDefault="00000000">
      <w:r>
        <w:t>Corporate culture and integrity policy 151 Annual Report KBC Group 2023 Combating corruption and bribery KBC has pursued a zero-tolerance policy towards any and all forms of corruption for years and does not tolerate any exceptions to this policy.</w:t>
      </w:r>
    </w:p>
    <w:p w14:paraId="6356B25C" w14:textId="77777777" w:rsidR="009C2269" w:rsidRDefault="00000000">
      <w:r>
        <w:lastRenderedPageBreak/>
        <w:t>Another element of the Anti-Corruption &amp; Bribery Policy is the ‘policy on gifts, donations and sponsorship’ through which KBC endeavours to protect its employees and the other parties involved by means of clear and unambiguous criteria that have been drawn up to foster transparent and reasonable behaviour.</w:t>
      </w:r>
    </w:p>
    <w:p w14:paraId="1005670A" w14:textId="77777777" w:rsidR="009C2269" w:rsidRDefault="00000000">
      <w:r>
        <w:t>The aim of this policy is to establish a general framework for combating money laundering and the funding of terrorism including proliferation financing of weapons of mass destruction and compliance with embargoes.</w:t>
      </w:r>
    </w:p>
    <w:p w14:paraId="3A4EA886" w14:textId="77777777" w:rsidR="009C2269" w:rsidRDefault="00000000">
      <w:r>
        <w:t>Each group entity has developed its own anti-money laundering programme based on group-wide compliance rules covering the minimum requirements, but also ensuring that there is scope to implement local legislation.</w:t>
      </w:r>
    </w:p>
    <w:p w14:paraId="76A3F7DD" w14:textId="77777777" w:rsidR="009C2269" w:rsidRDefault="00000000">
      <w:r>
        <w:t>Responsible taxpayer The basic principle behind the KBC tax strategy is that KBC Group NV and all its entities must act as responsible taxpayers, basing themselves on professionally executed compliance with tax laws, legitimate tax planning and supported by valid business objectives that take precedence over tax considerations.</w:t>
      </w:r>
    </w:p>
    <w:p w14:paraId="0B68DBAA" w14:textId="77777777" w:rsidR="009C2269" w:rsidRDefault="00000000">
      <w:r>
        <w:t>KBC does not take aggressive tax positions simply because it wishes to safeguard its reputation as a responsible taxpayer, and it adheres to a strict tax risk management policy based on these principles.</w:t>
      </w:r>
    </w:p>
    <w:p w14:paraId="50BFBE55" w14:textId="77777777" w:rsidR="009C2269" w:rsidRDefault="00000000">
      <w:r>
        <w:t>Proper governance is in place to follow up and monitor the KBC Tax Strategy.</w:t>
      </w:r>
    </w:p>
    <w:p w14:paraId="66F597D8" w14:textId="77777777" w:rsidR="009C2269" w:rsidRDefault="00000000">
      <w:r>
        <w:t>Group Compliance oversees how this policy is implemented in practice.</w:t>
      </w:r>
    </w:p>
    <w:p w14:paraId="76CF38EB" w14:textId="77777777" w:rsidR="009C2269" w:rsidRDefault="00000000">
      <w:r>
        <w:t>It has to inform the Group Compliance’s Ethics Unit about every whistleblowing file.</w:t>
      </w:r>
    </w:p>
    <w:p w14:paraId="06C78E74" w14:textId="77777777" w:rsidR="009C2269" w:rsidRDefault="00000000">
      <w:r>
        <w:t>The whistleblower policy is published internally and externally available under ‘Corporate Sustainability’ at In 2023, 28 reports were received at group level, 11 from Belgium, 11 from the Czech Republic, 0 from Hungary, 5 from Slovakia and 1 from Bulgaria.</w:t>
      </w:r>
    </w:p>
    <w:p w14:paraId="30B0AE04" w14:textId="77777777" w:rsidR="009C2269" w:rsidRDefault="00000000">
      <w:r>
        <w:t>Data protection The Internal Group Compliance rule on data protection sets out a strict privacy framework, which has to be observed as a minimum standard and implemented in every KBC Group entity.</w:t>
      </w:r>
    </w:p>
    <w:p w14:paraId="051099F0" w14:textId="77777777" w:rsidR="009C2269" w:rsidRDefault="00000000">
      <w:r>
        <w:t>Each entity has appointed a data protection officer to inform and advise management and employees on their obligations in the field of privacy and data protection and to monitor compliance with regulations and policies relating to the protection of personal data.</w:t>
      </w:r>
    </w:p>
    <w:p w14:paraId="68EE2E6D" w14:textId="77777777" w:rsidR="009C2269" w:rsidRDefault="00000000">
      <w:r>
        <w:t>We check the status of relevant topics through regular compliance monitoring programmes and use awareness campaigns and training to hold people’s attention and ensure their knowledge remains up-to-date.</w:t>
      </w:r>
    </w:p>
    <w:p w14:paraId="14780C2D" w14:textId="77777777" w:rsidR="009C2269" w:rsidRDefault="00000000">
      <w:r>
        <w:t>Given the importance of privacy and data protection, we keep our Executive Committee and the Risk and Compliance Committee of the Board of Directors informed through a quarterly report.</w:t>
      </w:r>
    </w:p>
    <w:p w14:paraId="5C77E87F" w14:textId="77777777" w:rsidR="009C2269" w:rsidRDefault="00000000">
      <w:r>
        <w:lastRenderedPageBreak/>
        <w:t>Internal Audit provides reasonable assurance about whether the internal control and risk management processes, including corporate governance, are effective and efficient.</w:t>
      </w:r>
    </w:p>
    <w:p w14:paraId="7F1F3B48" w14:textId="77777777" w:rsidR="009C2269" w:rsidRDefault="00000000">
      <w:r>
        <w:t>As independent third line of defence reporting to the AC, it performs risk-oriented audits to this end and ensures that policy measures and processes are in place that are consistently applied within the group to guarantee the continuity of operations.</w:t>
      </w:r>
    </w:p>
    <w:p w14:paraId="6C322F9E" w14:textId="77777777" w:rsidR="009C2269" w:rsidRDefault="00000000">
      <w:r>
        <w:t>Part 2, Description of the main features of the internal control and risk management systems in relation to the financial reporting process Periodic reporting at company level is based on a documented accounting process.</w:t>
      </w:r>
    </w:p>
    <w:p w14:paraId="5C59A0FB" w14:textId="77777777" w:rsidR="009C2269" w:rsidRDefault="00000000">
      <w:r>
        <w:t>The shares subscribed to by employees under the capital increase decided upon by the Board in November 2023 are issued on an undiscounted basis and therefore not blocked.</w:t>
      </w:r>
    </w:p>
    <w:p w14:paraId="75819C44" w14:textId="77777777" w:rsidR="009C2269" w:rsidRDefault="00000000">
      <w:r>
        <w:t>On 8 November 2023, the Board decided to use its authorisation to increase capital by issuing shares with preferential subscription rights cancelled to employees.</w:t>
      </w:r>
    </w:p>
    <w:p w14:paraId="0854C9CD" w14:textId="77777777" w:rsidR="009C2269" w:rsidRDefault="00000000">
      <w:r>
        <w:t>It is monitored and regularly checked by the Remuneration Committee to see whether it complies with changes in the law, the Code, and prevailing market practices and trends.</w:t>
      </w:r>
    </w:p>
    <w:p w14:paraId="37CE82EF" w14:textId="77777777" w:rsidR="009C2269" w:rsidRDefault="00000000">
      <w:r>
        <w:t>If required by law, the Board will submit any policy changes to the General Meeting for approval.</w:t>
      </w:r>
    </w:p>
    <w:p w14:paraId="0881CCEA" w14:textId="77777777" w:rsidR="009C2269" w:rsidRDefault="00000000">
      <w:r>
        <w:t>On the basis of advice obtained from the Remuneration Committee and taking account of the established remuneration policy, the Board determines the remuneration to be granted to members of the EC, and assesses this amount at regular intervals.</w:t>
      </w:r>
    </w:p>
    <w:p w14:paraId="769EE86C" w14:textId="77777777" w:rsidR="009C2269" w:rsidRDefault="00000000">
      <w:r>
        <w:t>Non-compliance with the Corporate Governance Code The Corporate Governance Code stipulates that members of the Board should receive a portion of their remuneration in the form of company shares as a way of encouraging them to act as long-term shareholders or, as phrased by the Corporate Governance Commission, to ensure that the directors have ‘skin in the game’.</w:t>
      </w:r>
    </w:p>
    <w:p w14:paraId="49477903" w14:textId="77777777" w:rsidR="009C2269" w:rsidRDefault="00000000">
      <w:r>
        <w:t>Consequently, the Remuneration Committee believes it is not necessary to implement this rule to achieve the intended objective.</w:t>
      </w:r>
    </w:p>
    <w:p w14:paraId="55FA32A4" w14:textId="77777777" w:rsidR="009C2269" w:rsidRDefault="00000000">
      <w:r>
        <w:t>The Remuneration Committee advised the Board not to implement this particular provision of the Code.</w:t>
      </w:r>
    </w:p>
    <w:p w14:paraId="7A75B383" w14:textId="77777777" w:rsidR="009C2269" w:rsidRDefault="00000000">
      <w:r>
        <w:t>The main principles for setting variable remuneration are set out below, Variable remuneration must always comprise a resultrelated component for the EC as a collective body and a performance-related component for individual achievements.</w:t>
      </w:r>
    </w:p>
    <w:p w14:paraId="1074A50D" w14:textId="77777777" w:rsidR="009C2269" w:rsidRDefault="00000000">
      <w:r>
        <w:t>The sustainability policy is another element that is taken into account when setting variable remuneration.</w:t>
      </w:r>
    </w:p>
    <w:p w14:paraId="65EC8BF5" w14:textId="77777777" w:rsidR="009C2269" w:rsidRDefault="00000000">
      <w:r>
        <w:lastRenderedPageBreak/>
        <w:t>Remuneration awarded to non-executive directors The remuneration paid to non-executive directors consists solely of an annual fixed component of 20 000 euros non-performance-related and non-results-based plus the fee received for each meeting attended 5 000 euros.</w:t>
      </w:r>
    </w:p>
    <w:p w14:paraId="3EC22499" w14:textId="77777777" w:rsidR="009C2269" w:rsidRDefault="00000000">
      <w:r>
        <w:t>On the basis of this assessment, the Remuneration Committee proposes a percentage between 0 and 100% to the Board.</w:t>
      </w:r>
    </w:p>
    <w:p w14:paraId="3902DF51" w14:textId="77777777" w:rsidR="009C2269" w:rsidRDefault="00000000">
      <w:r>
        <w:t>Empowerment We offer every employee the chance to develop their creativity and talent.</w:t>
      </w:r>
    </w:p>
    <w:p w14:paraId="3E3E092F" w14:textId="1F9DDC39" w:rsidR="009C2269" w:rsidRDefault="00000000">
      <w:r>
        <w:t>Criteria for awarding members of the EC the result-related variable remuneration component Explanation Weighting</w:t>
      </w:r>
      <w:r w:rsidR="008549FC">
        <w:t xml:space="preserve"> </w:t>
      </w:r>
      <w:r>
        <w:t xml:space="preserve">Implementing </w:t>
      </w:r>
      <w:proofErr w:type="gramStart"/>
      <w:r>
        <w:t>strategy</w:t>
      </w:r>
      <w:proofErr w:type="gramEnd"/>
      <w:r>
        <w:t xml:space="preserve"> Besides achieving any specific targets, the </w:t>
      </w:r>
      <w:proofErr w:type="gramStart"/>
      <w:r>
        <w:t>main focus</w:t>
      </w:r>
      <w:proofErr w:type="gramEnd"/>
      <w:r>
        <w:t xml:space="preserve"> is on what has been achieved in terms of client centricity, sustainability, encouraging responsible conduct, and innovation.</w:t>
      </w:r>
    </w:p>
    <w:p w14:paraId="6CF312FC" w14:textId="77777777" w:rsidR="009C2269" w:rsidRDefault="00000000">
      <w:r>
        <w:t>This is embedded in the structure of the payment of the variable remuneration, Half of the remuneration is linked to the development of the price of the KBC share over a period of seven years following the performance year by distributing phantom stocks.</w:t>
      </w:r>
    </w:p>
    <w:p w14:paraId="442C2F41" w14:textId="77777777" w:rsidR="009C2269" w:rsidRDefault="00000000">
      <w:r>
        <w:t>Events that have a material negative impact on KBC’s results or reputation 164 Annual Report KBC Group 2023 may give rise to non-payment or reduced payment of the variable remuneration.</w:t>
      </w:r>
    </w:p>
    <w:p w14:paraId="6E1DA50E" w14:textId="77777777" w:rsidR="009C2269" w:rsidRDefault="00000000">
      <w:r>
        <w:t>Provisions concerning severance payments for executive directors and members of the EC of KBC Group NV In compliance with legal and regulatory limits, for members of the EC who have worked six years or less, such payments have been set at 12 months’ remuneration, for those who have worked between six and nine years, they are equal to 15 months’ remuneration, and for those who have worked more than nine years, they are equal to 18 months’ remuneration.</w:t>
      </w:r>
    </w:p>
    <w:p w14:paraId="0251FF21" w14:textId="77777777" w:rsidR="009C2269" w:rsidRDefault="00000000">
      <w:r>
        <w:t>The final amount is set by the Board on the advice of the Remuneration Committee, based on an assessment of the individual and collective achievements during the previous financial year.</w:t>
      </w:r>
    </w:p>
    <w:p w14:paraId="1EB53DD4" w14:textId="77777777" w:rsidR="009C2269" w:rsidRDefault="00000000">
      <w:r>
        <w:t>The Board decided that the members of the EC should be awarded collective result-related variable remuneration for 2023 that equalled 98.</w:t>
      </w:r>
    </w:p>
    <w:p w14:paraId="2A11A145" w14:textId="77777777" w:rsidR="009C2269" w:rsidRDefault="00000000">
      <w:r>
        <w:t>All criteria related to the group’s good governance practices were met.</w:t>
      </w:r>
    </w:p>
    <w:p w14:paraId="0164A7D7" w14:textId="77777777" w:rsidR="009C2269" w:rsidRDefault="00000000">
      <w:r>
        <w:t>Employee satisfaction, NPS scores and reputation also benefited from good governance and responsible behaviour, to which considerable attention is paid.</w:t>
      </w:r>
    </w:p>
    <w:p w14:paraId="0D87996F" w14:textId="77777777" w:rsidR="009C2269" w:rsidRDefault="00000000">
      <w:r>
        <w:t>We added a further stipulation in our policy, not only was this remuneration component not awarded for the year concerned, but payment of deferred amounts relating to previous years, which would normally be paid that year, was also suspended.</w:t>
      </w:r>
    </w:p>
    <w:p w14:paraId="2615DEE4" w14:textId="77777777" w:rsidR="009C2269" w:rsidRDefault="00000000">
      <w:r>
        <w:t>The remuneration policy applicable to all staff members will also be updated with this change.</w:t>
      </w:r>
    </w:p>
    <w:p w14:paraId="30148C36" w14:textId="77777777" w:rsidR="009C2269" w:rsidRDefault="00000000">
      <w:r>
        <w:lastRenderedPageBreak/>
        <w:t>A proposal to increase the remuneration of the AC and RCC members by 30 000 euros per year with effect from 2024 will be submitted for approval to the General Meeting of Shareholders of 2 May 2024.</w:t>
      </w:r>
    </w:p>
    <w:p w14:paraId="1F53B85E" w14:textId="77777777" w:rsidR="009C2269" w:rsidRDefault="00000000">
      <w:r>
        <w:t>The GRI is a sustainability reporting framework, providing universal guidelines for sustainability reporting and disclosing non-financial information.</w:t>
      </w:r>
    </w:p>
    <w:p w14:paraId="69D4A794" w14:textId="0EABC921" w:rsidR="009C2269" w:rsidRDefault="00000000">
      <w:r>
        <w:t xml:space="preserve">Full implementation of the 2021 GRI Sustainability Reporting Standards and the </w:t>
      </w:r>
      <w:proofErr w:type="gramStart"/>
      <w:r>
        <w:t>GRI</w:t>
      </w:r>
      <w:r w:rsidR="008549FC">
        <w:t xml:space="preserve"> </w:t>
      </w:r>
      <w:r>
        <w:t xml:space="preserve"> SASB</w:t>
      </w:r>
      <w:proofErr w:type="gramEnd"/>
      <w:r>
        <w:t xml:space="preserve"> Content Index are discussed in our Sustainability Report, which is published at </w:t>
      </w:r>
      <w:proofErr w:type="gramStart"/>
      <w:r>
        <w:t>The</w:t>
      </w:r>
      <w:proofErr w:type="gramEnd"/>
      <w:r>
        <w:t xml:space="preserve"> progress report on sustainability and other targets of the group’s loan portfolio, calculations of our environmental footprint, and our Principles for Responsible Banking for self-assessment has been externally verified.</w:t>
      </w:r>
    </w:p>
    <w:p w14:paraId="1E2DCE85" w14:textId="77777777" w:rsidR="009C2269" w:rsidRDefault="00000000">
      <w:r>
        <w:t>On initial designation of the hedge, KBC formally documents the relationship between the hedging instrument, and hedged item, , including the risk management objective and strategy in undertaking the hedge, together with the method that will be used to assess the effectiveness of the hedging relationship.</w:t>
      </w:r>
    </w:p>
    <w:p w14:paraId="5E5875D8" w14:textId="77777777" w:rsidR="009C2269" w:rsidRDefault="00000000">
      <w:r>
        <w:t>We have a solid sustainability governance structure in place to ensure group-wide integration of our sustainability strategy, which involves responsibility at the highest level and spans all areas of ESG.</w:t>
      </w:r>
    </w:p>
    <w:p w14:paraId="02ADBBC9" w14:textId="77777777" w:rsidR="009C2269" w:rsidRDefault="00000000">
      <w:r>
        <w:t>As part of our efforts to reduce our own direct footprint, we are taking relevant action in the areas of facilities buildings and mobility in particular, with a view to meeting our greenhouse gas emission reduction target see ‘Focus on the climate and the environment’.</w:t>
      </w:r>
    </w:p>
    <w:p w14:paraId="5E09B91A" w14:textId="77777777" w:rsidR="009C2269" w:rsidRDefault="00000000">
      <w:r>
        <w:t>These risks are a source of significant uncertainty in the medium and long term when preparing the financial reports, partly because it is difficult to assess the consequences of climate change for our current portfolios and also because it is uncertain to what extent the mitigating actions and plans for our mainly indirect climate impact have financial consequences for future portfolios see ‘Focus on the climate and the environment’ in the ‘Report of the Board of Directors’ section.</w:t>
      </w:r>
    </w:p>
    <w:p w14:paraId="360F054C" w14:textId="5C545F88" w:rsidR="009C2269" w:rsidRDefault="00000000">
      <w:r>
        <w:t>The lending goals providing loans for renewable energy and reducing the greenhouse gas intensity of loans in particular can initially have a negative impact on the interest income realised on loans, perhaps through impact on margins but with the loans still meeting the SPPI test and</w:t>
      </w:r>
      <w:r w:rsidR="008549FC">
        <w:t xml:space="preserve"> </w:t>
      </w:r>
      <w:r>
        <w:t>or production, which may later be offset by more limited credit losses given the increased resilience of the portfolio to climate-related risks.</w:t>
      </w:r>
    </w:p>
    <w:p w14:paraId="794AFFD6" w14:textId="77777777" w:rsidR="009C2269" w:rsidRDefault="00000000">
      <w:r>
        <w:t>Based on IFRS 8, KBC has identified the Executive Committee and Board of Directors as ‘chief operating decision-makers’, responsible for allocating the resources and assessing the performance of the different parts of the company.</w:t>
      </w:r>
    </w:p>
    <w:p w14:paraId="4D459CAB" w14:textId="77777777" w:rsidR="009C2269" w:rsidRDefault="00000000">
      <w:r>
        <w:t>Information on the capital increase reserved for KBC group employees can be found in the ‘Company annual accounts and additional information’ section.</w:t>
      </w:r>
    </w:p>
    <w:p w14:paraId="02982391" w14:textId="77777777" w:rsidR="009C2269" w:rsidRDefault="00000000">
      <w:r>
        <w:lastRenderedPageBreak/>
        <w:t>More information on our Green Bond Framework and our Social Bond Framework is available at We also refer to our Sustainability Report also available at in the ‘Our commitment to the environment’ section, which lists the characteristics of the loan and bond portfolios that contribute to environmental objectives.</w:t>
      </w:r>
    </w:p>
    <w:p w14:paraId="2199242E" w14:textId="77777777" w:rsidR="009C2269" w:rsidRDefault="00000000">
      <w:r>
        <w:t>The ‘Our commitment concerning our social impact’ section takes a closer look at the funding and advice we provide to projects with a positive social impact.</w:t>
      </w:r>
    </w:p>
    <w:p w14:paraId="0B0DBC87" w14:textId="77777777" w:rsidR="009C2269" w:rsidRDefault="00000000">
      <w:r>
        <w:t>We report on estimated greenhouse gas emissions associated with lending and other activities and have defined objectives for reducing the greenhouse gas intensity of loans we have provided to, among others, electricity producers and the real estate sector, mortgage loans and loans provided for commercial residential real estate, as well as loans provided to the automotive industry and car leasing see Note 6.</w:t>
      </w:r>
    </w:p>
    <w:p w14:paraId="290639EC" w14:textId="00440A94" w:rsidR="009C2269" w:rsidRDefault="00000000">
      <w:r>
        <w:t>Supervisory shock scenarios in millions of EUR, material currencies</w:t>
      </w:r>
      <w:r w:rsidR="008549FC">
        <w:t xml:space="preserve"> </w:t>
      </w:r>
      <w:r>
        <w:t xml:space="preserve">Changes in the economic value of equity, 4Q2023 1 Parallel up 606 2 Parallel down 126 3 Steepener 131 4 Flattener 23 5 Short rates up 142 6 Short rates down </w:t>
      </w:r>
      <w:proofErr w:type="gramStart"/>
      <w:r>
        <w:t xml:space="preserve">72 </w:t>
      </w:r>
      <w:r w:rsidR="008549FC">
        <w:t xml:space="preserve"> </w:t>
      </w:r>
      <w:r>
        <w:t>Supervision</w:t>
      </w:r>
      <w:proofErr w:type="gramEnd"/>
      <w:r>
        <w:t xml:space="preserve"> of the underlying internal models’ compliance with the approval criteria as provided for in the standards imposed by the regulator does not come under the responsibility of the statutory auditor.</w:t>
      </w:r>
    </w:p>
    <w:p w14:paraId="6EE8D305" w14:textId="77777777" w:rsidR="009C2269" w:rsidRDefault="00000000">
      <w:r>
        <w:t>We nevertheless also calculate our own direct greenhouse gas impact and apply certain targets in that regard.</w:t>
      </w:r>
    </w:p>
    <w:p w14:paraId="74F4612C" w14:textId="77777777" w:rsidR="009C2269" w:rsidRDefault="00000000">
      <w:r>
        <w:t>The KBC Pension Fund believes in a balanced ESG approach that allows improvement of the greenhouse gas intensity but also considers other environmental themes such as biodiversity and social and governance issues.</w:t>
      </w:r>
    </w:p>
    <w:p w14:paraId="5E40C6A6" w14:textId="77777777" w:rsidR="009C2269" w:rsidRDefault="00000000">
      <w:r>
        <w:t>We report on estimated greenhouse gas emissions associated with lending, leasing and other activities and, in that context, have defined objectives for reducing the greenhouse gas intensity of our financial and operational car leasing.</w:t>
      </w:r>
    </w:p>
    <w:p w14:paraId="7611BD45" w14:textId="77777777" w:rsidR="009C2269" w:rsidRDefault="00000000">
      <w:r>
        <w:t>More detailed information on remuneration paid to key management staff is provided in the ‘Corporate governance statement’ section.</w:t>
      </w:r>
    </w:p>
    <w:p w14:paraId="219700A5" w14:textId="12D59450" w:rsidR="009C2269" w:rsidRDefault="00000000">
      <w:r>
        <w:t>In addition, the company may function as an intellectual property company responsible for, among other things, the development, acquisition, management, protection and maintenance of intellectual property rights, as well as for making these rights available, granting rights of use in respect of these rights and</w:t>
      </w:r>
      <w:r w:rsidR="008549FC">
        <w:t xml:space="preserve"> </w:t>
      </w:r>
      <w:r>
        <w:t>or transferring these rights.</w:t>
      </w:r>
    </w:p>
    <w:p w14:paraId="39008818" w14:textId="77777777" w:rsidR="009C2269" w:rsidRDefault="00000000">
      <w:r>
        <w:t>How our Audit addressed the Key Audit Matter Our audit procedures comprised an assessment of the overall governance of the credit and impairment process of the Group, including the 12-month and lifetime expected loss modelling processes and the geopolitical and emerging risks post-model adjustment approach.</w:t>
      </w:r>
    </w:p>
    <w:p w14:paraId="6471C580" w14:textId="77777777" w:rsidR="009C2269" w:rsidRDefault="00000000">
      <w:r>
        <w:t xml:space="preserve">The magnitude of this single line item resulted in a focus area for the Group to monitor whether the requirements, in particular adequate prospective and retrospective hedge </w:t>
      </w:r>
      <w:r>
        <w:lastRenderedPageBreak/>
        <w:t>effectiveness testing, to pursue applying hedge accounting in these strategies continued to be met and for us to consider this a key audit matter.</w:t>
      </w:r>
    </w:p>
    <w:p w14:paraId="7BB2B5F5" w14:textId="77777777" w:rsidR="009C2269" w:rsidRDefault="00000000">
      <w:r>
        <w:t>How our Audit addressed the Key Audit Matter We obtained an understanding of the internal control framework related to goodwill impairment.</w:t>
      </w:r>
    </w:p>
    <w:p w14:paraId="11FB7EE1" w14:textId="77777777" w:rsidR="009C2269" w:rsidRDefault="00000000">
      <w:r>
        <w:t>Furthermore, the determination of the appropriate discounting of the said cash flows using the top-down approach is considered complex and highly judgemental, leading us to consider this as a key audit matter.</w:t>
      </w:r>
    </w:p>
    <w:p w14:paraId="783F2F6A" w14:textId="77777777" w:rsidR="009C2269" w:rsidRDefault="00000000">
      <w:r>
        <w:t>Furthermore, the determination of the appropriate discounting of the said cash flows using the bottom-up approach is considered complex and highly judgemental, leading us to consider this as a key audit matter.</w:t>
      </w:r>
    </w:p>
    <w:p w14:paraId="2B0ADFC2" w14:textId="77777777" w:rsidR="009C2269" w:rsidRDefault="00000000">
      <w:r>
        <w:t>Finally, we assessed the completeness and accuracy of the disclosures regarding insurance contracts to assess compliance with disclosure requirements included in the International Financial Reporting Standards as adopted by the European Union Our internal actuarial experts assisted us in performing our audit procedures.</w:t>
      </w:r>
    </w:p>
    <w:p w14:paraId="5B36DEAE" w14:textId="77777777" w:rsidR="009C2269" w:rsidRDefault="00000000">
      <w:r>
        <w:t>In performing our audit, we comply with the legal, regulatory and normative framework applicable to the audit of the consolidated accounts in Belgium.</w:t>
      </w:r>
    </w:p>
    <w:p w14:paraId="6309A4CE" w14:textId="77777777" w:rsidR="009C2269" w:rsidRDefault="00000000">
      <w:r>
        <w:t>As part of an audit in accordance with ISA, we exercise professional judgement and maintain professional scepticism throughout the audit.</w:t>
      </w:r>
    </w:p>
    <w:p w14:paraId="04046CC0" w14:textId="77777777" w:rsidR="009C2269" w:rsidRDefault="00000000">
      <w:r>
        <w:t>We are responsible for the direction, supervision and performance of the Group audit.</w:t>
      </w:r>
    </w:p>
    <w:p w14:paraId="38CCA32B" w14:textId="79119740" w:rsidR="009C2269" w:rsidRDefault="00000000">
      <w:r>
        <w:t xml:space="preserve">In the context of our audit of the consolidated accounts, we are also responsible for considering, </w:t>
      </w:r>
      <w:proofErr w:type="gramStart"/>
      <w:r>
        <w:t>in particular based</w:t>
      </w:r>
      <w:proofErr w:type="gramEnd"/>
      <w:r>
        <w:t xml:space="preserve"> on the knowledge acquired resulting from the audit, whether the directors’ report on the consolidated accounts and the other information included in the annual report on the consolidated accounts, containing the </w:t>
      </w:r>
      <w:r w:rsidR="00CF157A">
        <w:t>sections, Abridged</w:t>
      </w:r>
      <w:r>
        <w:t xml:space="preserve"> company annual accounts.</w:t>
      </w:r>
    </w:p>
    <w:p w14:paraId="1D9C82EA" w14:textId="53BD608D" w:rsidR="009C2269" w:rsidRDefault="00000000">
      <w:r>
        <w:t xml:space="preserve">The board of directors is responsible for the preparation, in accordance with ESEF requirements, of the consolidated financial statements in the form of an electronic file in ESEF format </w:t>
      </w:r>
      <w:r w:rsidR="00CF157A">
        <w:t>hereinafter digital</w:t>
      </w:r>
      <w:r>
        <w:t xml:space="preserve"> consolidated financial statements included in the annual financial report.</w:t>
      </w:r>
    </w:p>
    <w:p w14:paraId="1856F9C4" w14:textId="77777777" w:rsidR="009C2269" w:rsidRDefault="00000000">
      <w:r>
        <w:t>A capital increase under the authorisation to increase capital carried out on 15 December 2023 and reserved exclusively for employees of KBC Group NV and certain of its Belgian subsidiaries resulted in 136 462 shares being issued at a price of 51.</w:t>
      </w:r>
    </w:p>
    <w:p w14:paraId="5BB894DD" w14:textId="77777777" w:rsidR="009C2269" w:rsidRDefault="00000000">
      <w:r>
        <w:t>This analysis allows us to gain a better understanding and take account of our stakeholder’s views on material themes relating to human rights and KBC’s economic, social and environmental performance.</w:t>
      </w:r>
    </w:p>
    <w:p w14:paraId="5333D91F" w14:textId="77777777" w:rsidR="009C2269" w:rsidRDefault="00000000">
      <w:r>
        <w:lastRenderedPageBreak/>
        <w:t>Our core countries were also actively involved in the process, so as to ensure that the expectations of our local stakeholders core shareholders, clients, employees, investors, suppliers, NGOs, regulators and sector organisations in our core countries were represented in the analysis.</w:t>
      </w:r>
    </w:p>
    <w:sectPr w:rsidR="009C22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lovanzoznam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lovanzoznam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Zoznamsodrkam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Zoznamsodrkam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lovanzoznam"/>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Zoznamsodrkami"/>
      <w:lvlText w:val=""/>
      <w:lvlJc w:val="left"/>
      <w:pPr>
        <w:tabs>
          <w:tab w:val="num" w:pos="360"/>
        </w:tabs>
        <w:ind w:left="360" w:hanging="360"/>
      </w:pPr>
      <w:rPr>
        <w:rFonts w:ascii="Symbol" w:hAnsi="Symbol" w:hint="default"/>
      </w:rPr>
    </w:lvl>
  </w:abstractNum>
  <w:num w:numId="1" w16cid:durableId="2133398005">
    <w:abstractNumId w:val="8"/>
  </w:num>
  <w:num w:numId="2" w16cid:durableId="198051341">
    <w:abstractNumId w:val="6"/>
  </w:num>
  <w:num w:numId="3" w16cid:durableId="757096906">
    <w:abstractNumId w:val="5"/>
  </w:num>
  <w:num w:numId="4" w16cid:durableId="248471049">
    <w:abstractNumId w:val="4"/>
  </w:num>
  <w:num w:numId="5" w16cid:durableId="371610311">
    <w:abstractNumId w:val="7"/>
  </w:num>
  <w:num w:numId="6" w16cid:durableId="95369826">
    <w:abstractNumId w:val="3"/>
  </w:num>
  <w:num w:numId="7" w16cid:durableId="1081877051">
    <w:abstractNumId w:val="2"/>
  </w:num>
  <w:num w:numId="8" w16cid:durableId="2117213621">
    <w:abstractNumId w:val="1"/>
  </w:num>
  <w:num w:numId="9" w16cid:durableId="18214591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3CE"/>
    <w:rsid w:val="00067236"/>
    <w:rsid w:val="000A7415"/>
    <w:rsid w:val="0015074B"/>
    <w:rsid w:val="00243D49"/>
    <w:rsid w:val="002759EB"/>
    <w:rsid w:val="0029639D"/>
    <w:rsid w:val="00326F90"/>
    <w:rsid w:val="004060FC"/>
    <w:rsid w:val="004F5755"/>
    <w:rsid w:val="006B041E"/>
    <w:rsid w:val="007D3778"/>
    <w:rsid w:val="00806B9A"/>
    <w:rsid w:val="008549FC"/>
    <w:rsid w:val="00944256"/>
    <w:rsid w:val="00987C5B"/>
    <w:rsid w:val="009C2269"/>
    <w:rsid w:val="00A542D4"/>
    <w:rsid w:val="00AA1D8D"/>
    <w:rsid w:val="00B47730"/>
    <w:rsid w:val="00BF1171"/>
    <w:rsid w:val="00CB0664"/>
    <w:rsid w:val="00CF157A"/>
    <w:rsid w:val="00FC693F"/>
    <w:rsid w:val="00FD45DD"/>
    <w:rsid w:val="00FF70E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67589F"/>
  <w14:defaultImageDpi w14:val="300"/>
  <w15:docId w15:val="{54F07462-F3FE-C148-8CD9-D3D33A336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FC693F"/>
  </w:style>
  <w:style w:type="paragraph" w:styleId="Nadpis1">
    <w:name w:val="heading 1"/>
    <w:basedOn w:val="Normlny"/>
    <w:next w:val="Normlny"/>
    <w:link w:val="Nadpis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Nadpis2">
    <w:name w:val="heading 2"/>
    <w:basedOn w:val="Normlny"/>
    <w:next w:val="Normlny"/>
    <w:link w:val="Nadpis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Nadpis3">
    <w:name w:val="heading 3"/>
    <w:basedOn w:val="Normlny"/>
    <w:next w:val="Normlny"/>
    <w:link w:val="Nadpis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Nadpis4">
    <w:name w:val="heading 4"/>
    <w:basedOn w:val="Normlny"/>
    <w:next w:val="Normlny"/>
    <w:link w:val="Nadpis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Nadpis5">
    <w:name w:val="heading 5"/>
    <w:basedOn w:val="Normlny"/>
    <w:next w:val="Normlny"/>
    <w:link w:val="Nadpis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Nadpis6">
    <w:name w:val="heading 6"/>
    <w:basedOn w:val="Normlny"/>
    <w:next w:val="Normlny"/>
    <w:link w:val="Nadpis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Nadpis7">
    <w:name w:val="heading 7"/>
    <w:basedOn w:val="Normlny"/>
    <w:next w:val="Normlny"/>
    <w:link w:val="Nadpis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Nadpis9">
    <w:name w:val="heading 9"/>
    <w:basedOn w:val="Normlny"/>
    <w:next w:val="Normlny"/>
    <w:link w:val="Nadpis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paragraph" w:styleId="Hlavika">
    <w:name w:val="header"/>
    <w:basedOn w:val="Normlny"/>
    <w:link w:val="HlavikaChar"/>
    <w:uiPriority w:val="99"/>
    <w:unhideWhenUsed/>
    <w:rsid w:val="00E618BF"/>
    <w:pPr>
      <w:tabs>
        <w:tab w:val="center" w:pos="4680"/>
        <w:tab w:val="right" w:pos="9360"/>
      </w:tabs>
      <w:spacing w:after="0" w:line="240" w:lineRule="auto"/>
    </w:pPr>
  </w:style>
  <w:style w:type="character" w:customStyle="1" w:styleId="HlavikaChar">
    <w:name w:val="Hlavička Char"/>
    <w:basedOn w:val="Predvolenpsmoodseku"/>
    <w:link w:val="Hlavika"/>
    <w:uiPriority w:val="99"/>
    <w:rsid w:val="00E618BF"/>
  </w:style>
  <w:style w:type="paragraph" w:styleId="Pta">
    <w:name w:val="footer"/>
    <w:basedOn w:val="Normlny"/>
    <w:link w:val="PtaChar"/>
    <w:uiPriority w:val="99"/>
    <w:unhideWhenUsed/>
    <w:rsid w:val="00E618BF"/>
    <w:pPr>
      <w:tabs>
        <w:tab w:val="center" w:pos="4680"/>
        <w:tab w:val="right" w:pos="9360"/>
      </w:tabs>
      <w:spacing w:after="0" w:line="240" w:lineRule="auto"/>
    </w:pPr>
  </w:style>
  <w:style w:type="character" w:customStyle="1" w:styleId="PtaChar">
    <w:name w:val="Päta Char"/>
    <w:basedOn w:val="Predvolenpsmoodseku"/>
    <w:link w:val="Pta"/>
    <w:uiPriority w:val="99"/>
    <w:rsid w:val="00E618BF"/>
  </w:style>
  <w:style w:type="paragraph" w:styleId="Bezriadkovania">
    <w:name w:val="No Spacing"/>
    <w:uiPriority w:val="1"/>
    <w:qFormat/>
    <w:rsid w:val="00FC693F"/>
    <w:pPr>
      <w:spacing w:after="0" w:line="240" w:lineRule="auto"/>
    </w:pPr>
  </w:style>
  <w:style w:type="character" w:customStyle="1" w:styleId="Nadpis1Char">
    <w:name w:val="Nadpis 1 Char"/>
    <w:basedOn w:val="Predvolenpsmoodseku"/>
    <w:link w:val="Nadpis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Nadpis2Char">
    <w:name w:val="Nadpis 2 Char"/>
    <w:basedOn w:val="Predvolenpsmoodseku"/>
    <w:link w:val="Nadpis2"/>
    <w:uiPriority w:val="9"/>
    <w:rsid w:val="00FC693F"/>
    <w:rPr>
      <w:rFonts w:asciiTheme="majorHAnsi" w:eastAsiaTheme="majorEastAsia" w:hAnsiTheme="majorHAnsi" w:cstheme="majorBidi"/>
      <w:b/>
      <w:bCs/>
      <w:color w:val="4F81BD" w:themeColor="accent1"/>
      <w:sz w:val="26"/>
      <w:szCs w:val="26"/>
    </w:rPr>
  </w:style>
  <w:style w:type="character" w:customStyle="1" w:styleId="Nadpis3Char">
    <w:name w:val="Nadpis 3 Char"/>
    <w:basedOn w:val="Predvolenpsmoodseku"/>
    <w:link w:val="Nadpis3"/>
    <w:uiPriority w:val="9"/>
    <w:rsid w:val="00FC693F"/>
    <w:rPr>
      <w:rFonts w:asciiTheme="majorHAnsi" w:eastAsiaTheme="majorEastAsia" w:hAnsiTheme="majorHAnsi" w:cstheme="majorBidi"/>
      <w:b/>
      <w:bCs/>
      <w:color w:val="4F81BD" w:themeColor="accent1"/>
    </w:rPr>
  </w:style>
  <w:style w:type="paragraph" w:styleId="Nzov">
    <w:name w:val="Title"/>
    <w:basedOn w:val="Normlny"/>
    <w:next w:val="Normlny"/>
    <w:link w:val="Nzov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NzovChar">
    <w:name w:val="Názov Char"/>
    <w:basedOn w:val="Predvolenpsmoodseku"/>
    <w:link w:val="Nzov"/>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Podtitul">
    <w:name w:val="Subtitle"/>
    <w:basedOn w:val="Normlny"/>
    <w:next w:val="Normlny"/>
    <w:link w:val="Podtitu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PodtitulChar">
    <w:name w:val="Podtitul Char"/>
    <w:basedOn w:val="Predvolenpsmoodseku"/>
    <w:link w:val="Podtitul"/>
    <w:uiPriority w:val="11"/>
    <w:rsid w:val="00FC693F"/>
    <w:rPr>
      <w:rFonts w:asciiTheme="majorHAnsi" w:eastAsiaTheme="majorEastAsia" w:hAnsiTheme="majorHAnsi" w:cstheme="majorBidi"/>
      <w:i/>
      <w:iCs/>
      <w:color w:val="4F81BD" w:themeColor="accent1"/>
      <w:spacing w:val="15"/>
      <w:sz w:val="24"/>
      <w:szCs w:val="24"/>
    </w:rPr>
  </w:style>
  <w:style w:type="paragraph" w:styleId="Odsekzoznamu">
    <w:name w:val="List Paragraph"/>
    <w:basedOn w:val="Normlny"/>
    <w:uiPriority w:val="34"/>
    <w:qFormat/>
    <w:rsid w:val="00FC693F"/>
    <w:pPr>
      <w:ind w:left="720"/>
      <w:contextualSpacing/>
    </w:pPr>
  </w:style>
  <w:style w:type="paragraph" w:styleId="Zkladntext">
    <w:name w:val="Body Text"/>
    <w:basedOn w:val="Normlny"/>
    <w:link w:val="ZkladntextChar"/>
    <w:uiPriority w:val="99"/>
    <w:unhideWhenUsed/>
    <w:rsid w:val="00AA1D8D"/>
    <w:pPr>
      <w:spacing w:after="120"/>
    </w:pPr>
  </w:style>
  <w:style w:type="character" w:customStyle="1" w:styleId="ZkladntextChar">
    <w:name w:val="Základný text Char"/>
    <w:basedOn w:val="Predvolenpsmoodseku"/>
    <w:link w:val="Zkladntext"/>
    <w:uiPriority w:val="99"/>
    <w:rsid w:val="00AA1D8D"/>
  </w:style>
  <w:style w:type="paragraph" w:styleId="Zkladntext2">
    <w:name w:val="Body Text 2"/>
    <w:basedOn w:val="Normlny"/>
    <w:link w:val="Zkladntext2Char"/>
    <w:uiPriority w:val="99"/>
    <w:unhideWhenUsed/>
    <w:rsid w:val="00AA1D8D"/>
    <w:pPr>
      <w:spacing w:after="120" w:line="480" w:lineRule="auto"/>
    </w:pPr>
  </w:style>
  <w:style w:type="character" w:customStyle="1" w:styleId="Zkladntext2Char">
    <w:name w:val="Základný text 2 Char"/>
    <w:basedOn w:val="Predvolenpsmoodseku"/>
    <w:link w:val="Zkladntext2"/>
    <w:uiPriority w:val="99"/>
    <w:rsid w:val="00AA1D8D"/>
  </w:style>
  <w:style w:type="paragraph" w:styleId="Zkladntext3">
    <w:name w:val="Body Text 3"/>
    <w:basedOn w:val="Normlny"/>
    <w:link w:val="Zkladntext3Char"/>
    <w:uiPriority w:val="99"/>
    <w:unhideWhenUsed/>
    <w:rsid w:val="00AA1D8D"/>
    <w:pPr>
      <w:spacing w:after="120"/>
    </w:pPr>
    <w:rPr>
      <w:sz w:val="16"/>
      <w:szCs w:val="16"/>
    </w:rPr>
  </w:style>
  <w:style w:type="character" w:customStyle="1" w:styleId="Zkladntext3Char">
    <w:name w:val="Základný text 3 Char"/>
    <w:basedOn w:val="Predvolenpsmoodseku"/>
    <w:link w:val="Zkladntext3"/>
    <w:uiPriority w:val="99"/>
    <w:rsid w:val="00AA1D8D"/>
    <w:rPr>
      <w:sz w:val="16"/>
      <w:szCs w:val="16"/>
    </w:rPr>
  </w:style>
  <w:style w:type="paragraph" w:styleId="Zoznam">
    <w:name w:val="List"/>
    <w:basedOn w:val="Normlny"/>
    <w:uiPriority w:val="99"/>
    <w:unhideWhenUsed/>
    <w:rsid w:val="00AA1D8D"/>
    <w:pPr>
      <w:ind w:left="360" w:hanging="360"/>
      <w:contextualSpacing/>
    </w:pPr>
  </w:style>
  <w:style w:type="paragraph" w:styleId="Zoznam2">
    <w:name w:val="List 2"/>
    <w:basedOn w:val="Normlny"/>
    <w:uiPriority w:val="99"/>
    <w:unhideWhenUsed/>
    <w:rsid w:val="00326F90"/>
    <w:pPr>
      <w:ind w:left="720" w:hanging="360"/>
      <w:contextualSpacing/>
    </w:pPr>
  </w:style>
  <w:style w:type="paragraph" w:styleId="Zoznam3">
    <w:name w:val="List 3"/>
    <w:basedOn w:val="Normlny"/>
    <w:uiPriority w:val="99"/>
    <w:unhideWhenUsed/>
    <w:rsid w:val="00326F90"/>
    <w:pPr>
      <w:ind w:left="1080" w:hanging="360"/>
      <w:contextualSpacing/>
    </w:pPr>
  </w:style>
  <w:style w:type="paragraph" w:styleId="Zoznamsodrkami">
    <w:name w:val="List Bullet"/>
    <w:basedOn w:val="Normlny"/>
    <w:uiPriority w:val="99"/>
    <w:unhideWhenUsed/>
    <w:rsid w:val="00326F90"/>
    <w:pPr>
      <w:numPr>
        <w:numId w:val="1"/>
      </w:numPr>
      <w:contextualSpacing/>
    </w:pPr>
  </w:style>
  <w:style w:type="paragraph" w:styleId="Zoznamsodrkami2">
    <w:name w:val="List Bullet 2"/>
    <w:basedOn w:val="Normlny"/>
    <w:uiPriority w:val="99"/>
    <w:unhideWhenUsed/>
    <w:rsid w:val="00326F90"/>
    <w:pPr>
      <w:numPr>
        <w:numId w:val="2"/>
      </w:numPr>
      <w:contextualSpacing/>
    </w:pPr>
  </w:style>
  <w:style w:type="paragraph" w:styleId="Zoznamsodrkami3">
    <w:name w:val="List Bullet 3"/>
    <w:basedOn w:val="Normlny"/>
    <w:uiPriority w:val="99"/>
    <w:unhideWhenUsed/>
    <w:rsid w:val="00326F90"/>
    <w:pPr>
      <w:numPr>
        <w:numId w:val="3"/>
      </w:numPr>
      <w:contextualSpacing/>
    </w:pPr>
  </w:style>
  <w:style w:type="paragraph" w:styleId="slovanzoznam">
    <w:name w:val="List Number"/>
    <w:basedOn w:val="Normlny"/>
    <w:uiPriority w:val="99"/>
    <w:unhideWhenUsed/>
    <w:rsid w:val="00326F90"/>
    <w:pPr>
      <w:numPr>
        <w:numId w:val="5"/>
      </w:numPr>
      <w:contextualSpacing/>
    </w:pPr>
  </w:style>
  <w:style w:type="paragraph" w:styleId="slovanzoznam2">
    <w:name w:val="List Number 2"/>
    <w:basedOn w:val="Normlny"/>
    <w:uiPriority w:val="99"/>
    <w:unhideWhenUsed/>
    <w:rsid w:val="0029639D"/>
    <w:pPr>
      <w:numPr>
        <w:numId w:val="6"/>
      </w:numPr>
      <w:contextualSpacing/>
    </w:pPr>
  </w:style>
  <w:style w:type="paragraph" w:styleId="slovanzoznam3">
    <w:name w:val="List Number 3"/>
    <w:basedOn w:val="Normlny"/>
    <w:uiPriority w:val="99"/>
    <w:unhideWhenUsed/>
    <w:rsid w:val="0029639D"/>
    <w:pPr>
      <w:numPr>
        <w:numId w:val="7"/>
      </w:numPr>
      <w:contextualSpacing/>
    </w:pPr>
  </w:style>
  <w:style w:type="paragraph" w:styleId="Pokraovaniezoznamu">
    <w:name w:val="List Continue"/>
    <w:basedOn w:val="Normlny"/>
    <w:uiPriority w:val="99"/>
    <w:unhideWhenUsed/>
    <w:rsid w:val="0029639D"/>
    <w:pPr>
      <w:spacing w:after="120"/>
      <w:ind w:left="360"/>
      <w:contextualSpacing/>
    </w:pPr>
  </w:style>
  <w:style w:type="paragraph" w:styleId="Pokraovaniezoznamu2">
    <w:name w:val="List Continue 2"/>
    <w:basedOn w:val="Normlny"/>
    <w:uiPriority w:val="99"/>
    <w:unhideWhenUsed/>
    <w:rsid w:val="0029639D"/>
    <w:pPr>
      <w:spacing w:after="120"/>
      <w:ind w:left="720"/>
      <w:contextualSpacing/>
    </w:pPr>
  </w:style>
  <w:style w:type="paragraph" w:styleId="Pokraovaniezoznamu3">
    <w:name w:val="List Continue 3"/>
    <w:basedOn w:val="Normlny"/>
    <w:uiPriority w:val="99"/>
    <w:unhideWhenUsed/>
    <w:rsid w:val="0029639D"/>
    <w:pPr>
      <w:spacing w:after="120"/>
      <w:ind w:left="1080"/>
      <w:contextualSpacing/>
    </w:pPr>
  </w:style>
  <w:style w:type="paragraph" w:styleId="Textmakra">
    <w:name w:val="macro"/>
    <w:link w:val="Textmakra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kraChar">
    <w:name w:val="Text makra Char"/>
    <w:basedOn w:val="Predvolenpsmoodseku"/>
    <w:link w:val="Textmakra"/>
    <w:uiPriority w:val="99"/>
    <w:rsid w:val="0029639D"/>
    <w:rPr>
      <w:rFonts w:ascii="Courier" w:hAnsi="Courier"/>
      <w:sz w:val="20"/>
      <w:szCs w:val="20"/>
    </w:rPr>
  </w:style>
  <w:style w:type="paragraph" w:styleId="Citcia">
    <w:name w:val="Quote"/>
    <w:basedOn w:val="Normlny"/>
    <w:next w:val="Normlny"/>
    <w:link w:val="CitciaChar"/>
    <w:uiPriority w:val="29"/>
    <w:qFormat/>
    <w:rsid w:val="00FC693F"/>
    <w:rPr>
      <w:i/>
      <w:iCs/>
      <w:color w:val="000000" w:themeColor="text1"/>
    </w:rPr>
  </w:style>
  <w:style w:type="character" w:customStyle="1" w:styleId="CitciaChar">
    <w:name w:val="Citácia Char"/>
    <w:basedOn w:val="Predvolenpsmoodseku"/>
    <w:link w:val="Citcia"/>
    <w:uiPriority w:val="29"/>
    <w:rsid w:val="00FC693F"/>
    <w:rPr>
      <w:i/>
      <w:iCs/>
      <w:color w:val="000000" w:themeColor="text1"/>
    </w:rPr>
  </w:style>
  <w:style w:type="character" w:customStyle="1" w:styleId="Nadpis4Char">
    <w:name w:val="Nadpis 4 Char"/>
    <w:basedOn w:val="Predvolenpsmoodseku"/>
    <w:link w:val="Nadpis4"/>
    <w:uiPriority w:val="9"/>
    <w:semiHidden/>
    <w:rsid w:val="00FC693F"/>
    <w:rPr>
      <w:rFonts w:asciiTheme="majorHAnsi" w:eastAsiaTheme="majorEastAsia" w:hAnsiTheme="majorHAnsi" w:cstheme="majorBidi"/>
      <w:b/>
      <w:bCs/>
      <w:i/>
      <w:iCs/>
      <w:color w:val="4F81BD" w:themeColor="accent1"/>
    </w:rPr>
  </w:style>
  <w:style w:type="character" w:customStyle="1" w:styleId="Nadpis5Char">
    <w:name w:val="Nadpis 5 Char"/>
    <w:basedOn w:val="Predvolenpsmoodseku"/>
    <w:link w:val="Nadpis5"/>
    <w:uiPriority w:val="9"/>
    <w:semiHidden/>
    <w:rsid w:val="00FC693F"/>
    <w:rPr>
      <w:rFonts w:asciiTheme="majorHAnsi" w:eastAsiaTheme="majorEastAsia" w:hAnsiTheme="majorHAnsi" w:cstheme="majorBidi"/>
      <w:color w:val="243F60" w:themeColor="accent1" w:themeShade="7F"/>
    </w:rPr>
  </w:style>
  <w:style w:type="character" w:customStyle="1" w:styleId="Nadpis6Char">
    <w:name w:val="Nadpis 6 Char"/>
    <w:basedOn w:val="Predvolenpsmoodseku"/>
    <w:link w:val="Nadpis6"/>
    <w:uiPriority w:val="9"/>
    <w:semiHidden/>
    <w:rsid w:val="00FC693F"/>
    <w:rPr>
      <w:rFonts w:asciiTheme="majorHAnsi" w:eastAsiaTheme="majorEastAsia" w:hAnsiTheme="majorHAnsi" w:cstheme="majorBidi"/>
      <w:i/>
      <w:iCs/>
      <w:color w:val="243F60" w:themeColor="accent1" w:themeShade="7F"/>
    </w:rPr>
  </w:style>
  <w:style w:type="character" w:customStyle="1" w:styleId="Nadpis7Char">
    <w:name w:val="Nadpis 7 Char"/>
    <w:basedOn w:val="Predvolenpsmoodseku"/>
    <w:link w:val="Nadpis7"/>
    <w:uiPriority w:val="9"/>
    <w:semiHidden/>
    <w:rsid w:val="00FC693F"/>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FC693F"/>
    <w:rPr>
      <w:rFonts w:asciiTheme="majorHAnsi" w:eastAsiaTheme="majorEastAsia" w:hAnsiTheme="majorHAnsi" w:cstheme="majorBidi"/>
      <w:color w:val="4F81BD" w:themeColor="accent1"/>
      <w:sz w:val="20"/>
      <w:szCs w:val="20"/>
    </w:rPr>
  </w:style>
  <w:style w:type="character" w:customStyle="1" w:styleId="Nadpis9Char">
    <w:name w:val="Nadpis 9 Char"/>
    <w:basedOn w:val="Predvolenpsmoodseku"/>
    <w:link w:val="Nadpis9"/>
    <w:uiPriority w:val="9"/>
    <w:semiHidden/>
    <w:rsid w:val="00FC693F"/>
    <w:rPr>
      <w:rFonts w:asciiTheme="majorHAnsi" w:eastAsiaTheme="majorEastAsia" w:hAnsiTheme="majorHAnsi" w:cstheme="majorBidi"/>
      <w:i/>
      <w:iCs/>
      <w:color w:val="404040" w:themeColor="text1" w:themeTint="BF"/>
      <w:sz w:val="20"/>
      <w:szCs w:val="20"/>
    </w:rPr>
  </w:style>
  <w:style w:type="paragraph" w:styleId="Popis">
    <w:name w:val="caption"/>
    <w:basedOn w:val="Normlny"/>
    <w:next w:val="Normlny"/>
    <w:uiPriority w:val="35"/>
    <w:semiHidden/>
    <w:unhideWhenUsed/>
    <w:qFormat/>
    <w:rsid w:val="00FC693F"/>
    <w:pPr>
      <w:spacing w:line="240" w:lineRule="auto"/>
    </w:pPr>
    <w:rPr>
      <w:b/>
      <w:bCs/>
      <w:color w:val="4F81BD" w:themeColor="accent1"/>
      <w:sz w:val="18"/>
      <w:szCs w:val="18"/>
    </w:rPr>
  </w:style>
  <w:style w:type="character" w:styleId="Vrazn">
    <w:name w:val="Strong"/>
    <w:basedOn w:val="Predvolenpsmoodseku"/>
    <w:uiPriority w:val="22"/>
    <w:qFormat/>
    <w:rsid w:val="00FC693F"/>
    <w:rPr>
      <w:b/>
      <w:bCs/>
    </w:rPr>
  </w:style>
  <w:style w:type="character" w:styleId="Zvraznenie">
    <w:name w:val="Emphasis"/>
    <w:basedOn w:val="Predvolenpsmoodseku"/>
    <w:uiPriority w:val="20"/>
    <w:qFormat/>
    <w:rsid w:val="00FC693F"/>
    <w:rPr>
      <w:i/>
      <w:iCs/>
    </w:rPr>
  </w:style>
  <w:style w:type="paragraph" w:styleId="Zvraznencitcia">
    <w:name w:val="Intense Quote"/>
    <w:basedOn w:val="Normlny"/>
    <w:next w:val="Normlny"/>
    <w:link w:val="Zvraznencitci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ZvraznencitciaChar">
    <w:name w:val="Zvýraznená citácia Char"/>
    <w:basedOn w:val="Predvolenpsmoodseku"/>
    <w:link w:val="Zvraznencitcia"/>
    <w:uiPriority w:val="30"/>
    <w:rsid w:val="00FC693F"/>
    <w:rPr>
      <w:b/>
      <w:bCs/>
      <w:i/>
      <w:iCs/>
      <w:color w:val="4F81BD" w:themeColor="accent1"/>
    </w:rPr>
  </w:style>
  <w:style w:type="character" w:styleId="Jemnzvraznenie">
    <w:name w:val="Subtle Emphasis"/>
    <w:basedOn w:val="Predvolenpsmoodseku"/>
    <w:uiPriority w:val="19"/>
    <w:qFormat/>
    <w:rsid w:val="00FC693F"/>
    <w:rPr>
      <w:i/>
      <w:iCs/>
      <w:color w:val="808080" w:themeColor="text1" w:themeTint="7F"/>
    </w:rPr>
  </w:style>
  <w:style w:type="character" w:styleId="Intenzvnezvraznenie">
    <w:name w:val="Intense Emphasis"/>
    <w:basedOn w:val="Predvolenpsmoodseku"/>
    <w:uiPriority w:val="21"/>
    <w:qFormat/>
    <w:rsid w:val="00FC693F"/>
    <w:rPr>
      <w:b/>
      <w:bCs/>
      <w:i/>
      <w:iCs/>
      <w:color w:val="4F81BD" w:themeColor="accent1"/>
    </w:rPr>
  </w:style>
  <w:style w:type="character" w:styleId="Jemnodkaz">
    <w:name w:val="Subtle Reference"/>
    <w:basedOn w:val="Predvolenpsmoodseku"/>
    <w:uiPriority w:val="31"/>
    <w:qFormat/>
    <w:rsid w:val="00FC693F"/>
    <w:rPr>
      <w:smallCaps/>
      <w:color w:val="C0504D" w:themeColor="accent2"/>
      <w:u w:val="single"/>
    </w:rPr>
  </w:style>
  <w:style w:type="character" w:styleId="Zvraznenodkaz">
    <w:name w:val="Intense Reference"/>
    <w:basedOn w:val="Predvolenpsmoodseku"/>
    <w:uiPriority w:val="32"/>
    <w:qFormat/>
    <w:rsid w:val="00FC693F"/>
    <w:rPr>
      <w:b/>
      <w:bCs/>
      <w:smallCaps/>
      <w:color w:val="C0504D" w:themeColor="accent2"/>
      <w:spacing w:val="5"/>
      <w:u w:val="single"/>
    </w:rPr>
  </w:style>
  <w:style w:type="character" w:styleId="Nzovknihy">
    <w:name w:val="Book Title"/>
    <w:basedOn w:val="Predvolenpsmoodseku"/>
    <w:uiPriority w:val="33"/>
    <w:qFormat/>
    <w:rsid w:val="00FC693F"/>
    <w:rPr>
      <w:b/>
      <w:bCs/>
      <w:smallCaps/>
      <w:spacing w:val="5"/>
    </w:rPr>
  </w:style>
  <w:style w:type="paragraph" w:styleId="Hlavikaobsahu">
    <w:name w:val="TOC Heading"/>
    <w:basedOn w:val="Nadpis1"/>
    <w:next w:val="Normlny"/>
    <w:uiPriority w:val="39"/>
    <w:semiHidden/>
    <w:unhideWhenUsed/>
    <w:qFormat/>
    <w:rsid w:val="00FC693F"/>
    <w:pPr>
      <w:outlineLvl w:val="9"/>
    </w:pPr>
  </w:style>
  <w:style w:type="table" w:styleId="Mriekatabuky">
    <w:name w:val="Table Grid"/>
    <w:basedOn w:val="Normlnatabuka"/>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etlpodfarbenie">
    <w:name w:val="Light Shading"/>
    <w:basedOn w:val="Normlnatabuka"/>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vetlpodfarbeniezvraznenie1">
    <w:name w:val="Light Shading Accent 1"/>
    <w:basedOn w:val="Normlnatabuka"/>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vetlpodfarbeniezvraznenie2">
    <w:name w:val="Light Shading Accent 2"/>
    <w:basedOn w:val="Normlnatabuka"/>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vetlpodfarbeniezvraznenie3">
    <w:name w:val="Light Shading Accent 3"/>
    <w:basedOn w:val="Normlnatabuka"/>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vetlpodfarbeniezvraznenie4">
    <w:name w:val="Light Shading Accent 4"/>
    <w:basedOn w:val="Normlnatabuka"/>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vetlpodfarbeniezvraznenie5">
    <w:name w:val="Light Shading Accent 5"/>
    <w:basedOn w:val="Normlnatabuka"/>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vetlpodfarbeniezvraznenie6">
    <w:name w:val="Light Shading Accent 6"/>
    <w:basedOn w:val="Normlnatabuka"/>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Svetlzoznam">
    <w:name w:val="Light List"/>
    <w:basedOn w:val="Normlnatabuka"/>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Svetlzoznamzvraznenie1">
    <w:name w:val="Light List Accent 1"/>
    <w:basedOn w:val="Normlnatabuka"/>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Svetlzoznamzvraznenie2">
    <w:name w:val="Light List Accent 2"/>
    <w:basedOn w:val="Normlnatabuka"/>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Svetlzoznamzvraznenie3">
    <w:name w:val="Light List Accent 3"/>
    <w:basedOn w:val="Normlnatabuka"/>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Svetlzoznamzvraznenie4">
    <w:name w:val="Light List Accent 4"/>
    <w:basedOn w:val="Normlnatabuka"/>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Svetlzoznamzvraznenie5">
    <w:name w:val="Light List Accent 5"/>
    <w:basedOn w:val="Normlnatabuka"/>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Svetlzoznamzvraznenie6">
    <w:name w:val="Light List Accent 6"/>
    <w:basedOn w:val="Normlnatabuka"/>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Svetlmrieka">
    <w:name w:val="Light Grid"/>
    <w:basedOn w:val="Normlnatabuka"/>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Svetlmriekazvraznenie1">
    <w:name w:val="Light Grid Accent 1"/>
    <w:basedOn w:val="Normlnatabuka"/>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Svetlmriekazvraznenie2">
    <w:name w:val="Light Grid Accent 2"/>
    <w:basedOn w:val="Normlnatabuka"/>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Svetlmriekazvraznenie3">
    <w:name w:val="Light Grid Accent 3"/>
    <w:basedOn w:val="Normlnatabuka"/>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Svetlmriekazvraznenie4">
    <w:name w:val="Light Grid Accent 4"/>
    <w:basedOn w:val="Normlnatabuka"/>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Svetlmriekazvraznenie5">
    <w:name w:val="Light Grid Accent 5"/>
    <w:basedOn w:val="Normlnatabuka"/>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Svetlmriekazvraznenie6">
    <w:name w:val="Light Grid Accent 6"/>
    <w:basedOn w:val="Normlnatabuka"/>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trednpodfarbenie1">
    <w:name w:val="Medium Shading 1"/>
    <w:basedOn w:val="Normlnatabuka"/>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trednpodfarbenie1zvraznenie1">
    <w:name w:val="Medium Shading 1 Accent 1"/>
    <w:basedOn w:val="Normlnatabuka"/>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trednpodfarbenie1zvraznenie2">
    <w:name w:val="Medium Shading 1 Accent 2"/>
    <w:basedOn w:val="Normlnatabuka"/>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trednpodfarbenie1zvraznenie3">
    <w:name w:val="Medium Shading 1 Accent 3"/>
    <w:basedOn w:val="Normlnatabuka"/>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trednpodfarbenie1zvraznenie4">
    <w:name w:val="Medium Shading 1 Accent 4"/>
    <w:basedOn w:val="Normlnatabuka"/>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trednpodfarbenie1zvraznenie5">
    <w:name w:val="Medium Shading 1 Accent 5"/>
    <w:basedOn w:val="Normlnatabuka"/>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Farebnpodfarbenie1zvraznenie6">
    <w:name w:val="Medium Shading 1 Accent 6"/>
    <w:basedOn w:val="Normlnatabuka"/>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trednpodfarbenie2">
    <w:name w:val="Medium Shading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1">
    <w:name w:val="Medium Shading 2 Accent 1"/>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2">
    <w:name w:val="Medium Shading 2 Accent 2"/>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3">
    <w:name w:val="Medium Shading 2 Accent 3"/>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4">
    <w:name w:val="Medium Shading 2 Accent 4"/>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podfarbenie2zvraznenie5">
    <w:name w:val="Medium Shading 2 Accent 5"/>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Farebnpodfarbenie2zvraznenie6">
    <w:name w:val="Medium Shading 2 Accent 6"/>
    <w:basedOn w:val="Normlnatabuka"/>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trednzoznam1">
    <w:name w:val="Medium List 1"/>
    <w:basedOn w:val="Normlnatabuka"/>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Strednzoznam1zvraznenie1">
    <w:name w:val="Medium List 1 Accent 1"/>
    <w:basedOn w:val="Normlnatabuka"/>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Strednzoznam1zvraznenie2">
    <w:name w:val="Medium List 1 Accent 2"/>
    <w:basedOn w:val="Normlnatabuka"/>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Strednzoznam1zvraznenie3">
    <w:name w:val="Medium List 1 Accent 3"/>
    <w:basedOn w:val="Normlnatabuka"/>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Strednzoznam1zvraznenie4">
    <w:name w:val="Medium List 1 Accent 4"/>
    <w:basedOn w:val="Normlnatabuka"/>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Strednzoznam1zvraznenie5">
    <w:name w:val="Medium List 1 Accent 5"/>
    <w:basedOn w:val="Normlnatabuka"/>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Strednzoznam1zvraznenie6">
    <w:name w:val="Medium List 1 Accent 6"/>
    <w:basedOn w:val="Normlnatabuka"/>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Strednzoznam2">
    <w:name w:val="Medium Lis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1">
    <w:name w:val="Medium List 2 Accent 1"/>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2">
    <w:name w:val="Medium List 2 Accent 2"/>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3">
    <w:name w:val="Medium List 2 Accent 3"/>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4">
    <w:name w:val="Medium List 2 Accent 4"/>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5">
    <w:name w:val="Medium List 2 Accent 5"/>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zoznam2zvraznenie6">
    <w:name w:val="Medium List 2 Accent 6"/>
    <w:basedOn w:val="Normlnatabuka"/>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Strednmrieka1">
    <w:name w:val="Medium Grid 1"/>
    <w:basedOn w:val="Normlnatabuka"/>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Strednmrieka1zvraznenie1">
    <w:name w:val="Medium Grid 1 Accent 1"/>
    <w:basedOn w:val="Normlnatabuka"/>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Strednmrieka1zvraznenie2">
    <w:name w:val="Medium Grid 1 Accent 2"/>
    <w:basedOn w:val="Normlnatabuka"/>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Strednmrieka1zvraznenie3">
    <w:name w:val="Medium Grid 1 Accent 3"/>
    <w:basedOn w:val="Normlnatabuka"/>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Strednmrieka1zvraznenie4">
    <w:name w:val="Medium Grid 1 Accent 4"/>
    <w:basedOn w:val="Normlnatabuka"/>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Strednmrieka1zvraznenie5">
    <w:name w:val="Medium Grid 1 Accent 5"/>
    <w:basedOn w:val="Normlnatabuka"/>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Strednmrieka1zvraznenie6">
    <w:name w:val="Medium Grid 1 Accent 6"/>
    <w:basedOn w:val="Normlnatabuka"/>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Strednmrieka2">
    <w:name w:val="Medium Grid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Strednmrieka2zvraznenie1">
    <w:name w:val="Medium Grid 2 Accent 1"/>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Strednmrieka2zvraznenie2">
    <w:name w:val="Medium Grid 2 Accent 2"/>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Strednmrieka2zvraznenie3">
    <w:name w:val="Medium Grid 2 Accent 3"/>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Strednmrieka2zvraznenie4">
    <w:name w:val="Medium Grid 2 Accent 4"/>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Strednmrieka2zvraznenie5">
    <w:name w:val="Medium Grid 2 Accent 5"/>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Strednmrieka2zvraznenie6">
    <w:name w:val="Medium Grid 2 Accent 6"/>
    <w:basedOn w:val="Normlnatabuka"/>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Strednmrieka3">
    <w:name w:val="Medium Grid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Strednmrieka3zvraznenie1">
    <w:name w:val="Medium Grid 3 Accent 1"/>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Strednmrieka3zvraznenie2">
    <w:name w:val="Medium Grid 3 Accent 2"/>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Strednmrieka3zvraznenie3">
    <w:name w:val="Medium Grid 3 Accent 3"/>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Strednmrieka3zvraznenie4">
    <w:name w:val="Medium Grid 3 Accent 4"/>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Strednmrieka3zvraznenie5">
    <w:name w:val="Medium Grid 3 Accent 5"/>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Strednmrieka3zvraznenie6">
    <w:name w:val="Medium Grid 3 Accent 6"/>
    <w:basedOn w:val="Normlnatabuka"/>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mavzoznam">
    <w:name w:val="Dark List"/>
    <w:basedOn w:val="Normlnatabuka"/>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mavzoznamzvraznenie1">
    <w:name w:val="Dark List Accent 1"/>
    <w:basedOn w:val="Normlnatabuka"/>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mavzoznamzvraznenie2">
    <w:name w:val="Dark List Accent 2"/>
    <w:basedOn w:val="Normlnatabuka"/>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mavzoznamzvraznenie3">
    <w:name w:val="Dark List Accent 3"/>
    <w:basedOn w:val="Normlnatabuka"/>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mavzoznamzvraznenie4">
    <w:name w:val="Dark List Accent 4"/>
    <w:basedOn w:val="Normlnatabuka"/>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mavzoznamzvraznenie5">
    <w:name w:val="Dark List Accent 5"/>
    <w:basedOn w:val="Normlnatabuka"/>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mavzoznamzvraznenie6">
    <w:name w:val="Dark List Accent 6"/>
    <w:basedOn w:val="Normlnatabuka"/>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ebnpodfarbenie">
    <w:name w:val="Colorful Shading"/>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ebnpodfarbeniezvraznenie1">
    <w:name w:val="Colorful Shading Accent 1"/>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ebnpodfarbeniezvraznenie2">
    <w:name w:val="Colorful Shading Accent 2"/>
    <w:basedOn w:val="Normlnatabuka"/>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ebnpodfarbeniezvraznenie3">
    <w:name w:val="Colorful Shading Accent 3"/>
    <w:basedOn w:val="Normlnatabuka"/>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ebnpodfarbeniezvraznenie4">
    <w:name w:val="Colorful Shading Accent 4"/>
    <w:basedOn w:val="Normlnatabuka"/>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ebnpodfarbeniezvraznenie5">
    <w:name w:val="Colorful Shading Accent 5"/>
    <w:basedOn w:val="Normlnatabuka"/>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ebnpodfarbeniezvraznenie6">
    <w:name w:val="Colorful Shading Accent 6"/>
    <w:basedOn w:val="Normlnatabuka"/>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ebnzoznam">
    <w:name w:val="Colorful List"/>
    <w:basedOn w:val="Normlnatabuka"/>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ebnzoznamzvraznenie1">
    <w:name w:val="Colorful List Accent 1"/>
    <w:basedOn w:val="Normlnatabuka"/>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ebnzoznamzvraznenie2">
    <w:name w:val="Colorful List Accent 2"/>
    <w:basedOn w:val="Normlnatabuka"/>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ebnzoznamzvraznenie3">
    <w:name w:val="Colorful List Accent 3"/>
    <w:basedOn w:val="Normlnatabuka"/>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ebnzoznamzvraznenie4">
    <w:name w:val="Colorful List Accent 4"/>
    <w:basedOn w:val="Normlnatabuka"/>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ebnzoznamzvraznenie5">
    <w:name w:val="Colorful List Accent 5"/>
    <w:basedOn w:val="Normlnatabuka"/>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ebnzoznamzvraznenie6">
    <w:name w:val="Colorful List Accent 6"/>
    <w:basedOn w:val="Normlnatabuka"/>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ebnmrieka">
    <w:name w:val="Colorful Grid"/>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ebnmriekazvraznenie1">
    <w:name w:val="Colorful Grid Accent 1"/>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ebnmriekazvraznenie2">
    <w:name w:val="Colorful Grid Accent 2"/>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ebnmriekazvraznenie3">
    <w:name w:val="Colorful Grid Accent 3"/>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ebnmriekazvraznenie4">
    <w:name w:val="Colorful Grid Accent 4"/>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ebnmriekazvraznenie5">
    <w:name w:val="Colorful Grid Accent 5"/>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ebnmriekazvraznenie6">
    <w:name w:val="Colorful Grid Accent 6"/>
    <w:basedOn w:val="Normlnatabuka"/>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29</Pages>
  <Words>10866</Words>
  <Characters>61938</Characters>
  <Application>Microsoft Office Word</Application>
  <DocSecurity>0</DocSecurity>
  <Lines>516</Lines>
  <Paragraphs>145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72659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Mária Pappová</cp:lastModifiedBy>
  <cp:revision>18</cp:revision>
  <dcterms:created xsi:type="dcterms:W3CDTF">2013-12-23T23:15:00Z</dcterms:created>
  <dcterms:modified xsi:type="dcterms:W3CDTF">2025-08-03T20:10:00Z</dcterms:modified>
  <cp:category/>
</cp:coreProperties>
</file>