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CSRD, this is the first report to provide sustainability information in line with the new Corporate Sustainability Reporting Directive, which contains new EU rules that enhance and update social and environmental reporting, including business conduct.</w:t>
      </w:r>
    </w:p>
    <w:p>
      <w:r>
        <w:t>Sustainability is integral to our business model and strategy Johan Thijs, “We believe that, as a bank-insurer, we are uniquely positioned to contribute to a sustainable and resilient future and to truly make a change in the daily lives of all our clients.</w:t>
      </w:r>
    </w:p>
    <w:p>
      <w:r>
        <w:t>We support our clients on their journey towards greater sustainability, we have defined concrete climate indicators for carbon-intensive sectors in our loan portfolio, which we monitor closely, and we joined various international initiatives related to climate change, the environment and sustainability.</w:t>
      </w:r>
    </w:p>
    <w:p>
      <w:r>
        <w:t>This is the first year in which we also disclose sustainability information as required by the Corporate Sustainability Reporting Directive, or CSRD for short, which contains new EU rules on mainly social and environmental reporting that should help investors and stakeholders assess companies’ sustainability performance and impact.</w:t>
      </w:r>
    </w:p>
    <w:p>
      <w:r>
        <w:t>Information about how KBC continues its sustainability efforts can also be found on our website, and in our Sustainability Report.</w:t>
      </w:r>
    </w:p>
    <w:p>
      <w:r>
        <w:t>The goal is to know and understand those clients better, pick up signals effectively and respond to them proactively, offer tailored products and services, and focus on the sustainable development of the different communities in which we operate.</w:t>
      </w:r>
    </w:p>
    <w:p>
      <w:r>
        <w:t>Our strong performance in these challenging conditions is obviously testament to our solid foundations and futureoriented strategy but, most of all, it reflects the trust you, our dear client, employee, shareholder or other stakeholder, have placed in us and for which we thank you sincerely.</w:t>
      </w:r>
    </w:p>
    <w:p>
      <w:r>
        <w:t>Examples include higher levels of claims under the insurance we provide relating to consequences of extreme weather conditions and the impact on our loans or investments when relevant counterparties suffer the negative consequences of climate change or the transition to a lower-carbon society.</w:t>
      </w:r>
    </w:p>
    <w:p>
      <w:r>
        <w:t>We encourage responsible behaviour on the part of our employees and offer them a fair reward for their work, thereby contributing to the welfare of the countries in which we operate.</w:t>
      </w:r>
    </w:p>
    <w:p>
      <w:r>
        <w:t>In our business operations, we also prioritise areas such as cyber risk, anti-corruption measures, climate change and other environmental aspects.</w:t>
      </w:r>
    </w:p>
    <w:p>
      <w:r>
        <w:t>To be the reference for bank-insurance in all our core markets Core activities Lending Deposits Insurance Investments Asset management Payments Other financial and non-financial services Most relevant SDGs for the group more details are provided in our ‘Sustainability statement’ 9 Annual Report KBC Group 2024 Results selection, 2024 Goals and term results, see ‘Our strategy’ Net profit of 3.</w:t>
      </w:r>
    </w:p>
    <w:p>
      <w:r>
        <w:t>The ‘+’ sign in PEARL+ symbolises our focus on the joint development and smart copying of solutions, initiatives and ideas so that they are easy to utilise and deploy throughout the group, enabling us to work more efficiently, respond more quickly to change and make full use of local skills and talents groupwide.</w:t>
      </w:r>
    </w:p>
    <w:p>
      <w:r>
        <w:t>We have appointed a dedicated PEARL manager to make sure that all our employees are thoroughly imbued with these values.</w:t>
      </w:r>
    </w:p>
    <w:p>
      <w:r>
        <w:t>Empowerment We offer every employee the chance to develop their creativity and talent.</w:t>
      </w:r>
    </w:p>
    <w:p>
      <w:r>
        <w:t>Our digital approach Digital interaction with clients forms the basis of our business model in our strategy, not only in terms of sales and advice, but also in process and product development.</w:t>
      </w:r>
    </w:p>
    <w:p>
      <w:r>
        <w:t>The goal is to know and understand our local clients better, pick up signals effectively and respond to them proactively, offer tailored products and services, and focus on the sustainable development of the different communities in which we operate.</w:t>
      </w:r>
    </w:p>
    <w:p>
      <w:r>
        <w:t>Strengths Unique bank-insurance model and innovative, data-driven digital strategy, which enables us to respond immediately to our clients’ needs Strong commercial banking and insurance franchises in all our business units Successful track record of underlying business results Solid capital position and strong liquidity Firmly embedded in the local economies of our core countries Strong focus on sustainability, ambitious climate targets that we also use to guide our clients towards a more sustainable future 13 Our approach to sustainability As a financial institution, we have a major direct and indirect impact on society.</w:t>
      </w:r>
    </w:p>
    <w:p>
      <w:r>
        <w:t>As a company that aims to support the transition to a more sustainable and climate-proof society, we have made sustainability integral to our overall business strategy and integrated it into our day-to-day business operations and the products and services we provide.</w:t>
      </w:r>
    </w:p>
    <w:p>
      <w:r>
        <w:t>Our sustainability strategy, which is geared towards the local economy and society, consists of financial resilience and three cornerstones, encouraging responsible behaviour on the part of all our employees, increasing our positive impact on society and limiting any adverse social impact we might have.</w:t>
      </w:r>
    </w:p>
    <w:p>
      <w:r>
        <w:t>Challenges A macroeconomic environment characterised by geopolitical challenges Impact of climate change on our and our clients’ operations, and the use of opportunities related to the transition to a greener economy Stricter regulation in areas like client protection, solvency, the environment, data, AI, etc.</w:t>
      </w:r>
    </w:p>
    <w:p>
      <w:r>
        <w:t>The Board of Directors is responsible for defining our group’s strategy, general policy and risk appetite.</w:t>
      </w:r>
    </w:p>
    <w:p>
      <w:r>
        <w:t>It is supported by several specialised committees, the Audit Committee, the Risk &amp; Compliance Committee, the Nomination Committee and the Remuneration Committee.</w:t>
      </w:r>
    </w:p>
    <w:p>
      <w:r>
        <w:t>Research and development have been performed at a variety of group companies as part of a programme to develop new and innovative digital solutions in a more data-driven financial organisation see ‘Our business units’.</w:t>
      </w:r>
    </w:p>
    <w:p>
      <w:r>
        <w:t>Climate change, global health risks and geopolitical and economic challenges Our financial performance is obviously impacted by the global economy, as well as by the financial markets and the demographic trends.</w:t>
      </w:r>
    </w:p>
    <w:p>
      <w:r>
        <w:t>The coronavirus pandemic and the recent extreme weather conditions demonstrated that climate change and public health risks, too, can have a significant impact.</w:t>
      </w:r>
    </w:p>
    <w:p>
      <w:r>
        <w:t>We have translated our environmental and climate change strategy into specific targets and have committed ourselves to several relevant international initiatives.</w:t>
      </w:r>
    </w:p>
    <w:p>
      <w:r>
        <w:t>Artificial intelligence, the EU intends to regulate the sale, development and application of AI systems at the European level by means of a risk-based approach.</w:t>
      </w:r>
    </w:p>
    <w:p>
      <w:r>
        <w:t>Developments based on artificial intelligence increase the number of potential cyberattacks and introduce new ways of launching cyberattacks.</w:t>
      </w:r>
    </w:p>
    <w:p>
      <w:r>
        <w:t>In order to avoid repeating issues already addressed in the ‘Sustainability statement’ section, in this section we focus on our values in relation to our employees, how we give them the opportunity to expand their skills and competences – which are essential in implementing our strategy – and how management can contribute to this.</w:t>
      </w:r>
    </w:p>
    <w:p>
      <w:r>
        <w:t>The ‘E’ in PEARL+ stands for ‘Empowerment’, referring to our commitment to give every employee the space they need to develop their talent and creativity and to deploy it towards accomplishing our business strategy.</w:t>
      </w:r>
    </w:p>
    <w:p>
      <w:r>
        <w:t>Through the group-wide ‘Team Blue’ initiatives, we actively promote our PEARL+ culture and unite employees from different countries, to make them proud of their team and their company and enable them to draw on each other’s experience.</w:t>
      </w:r>
    </w:p>
    <w:p>
      <w:r>
        <w:t>These initiatives include the Team Blue Challenges, the Group Diversity Days and the Group Inspiration Days.</w:t>
      </w:r>
    </w:p>
    <w:p>
      <w:r>
        <w:t>By assigning the right person with the right skills to the right job at the right time, we make sure that employees continue to develop and grow in lockstep with KBC.</w:t>
      </w:r>
    </w:p>
    <w:p>
      <w:r>
        <w:t>All employees have a personal skills profile that helps them focus on the skills that are needed to improve the performance of their duties and increase their Our employees 20 Annual Report KBC Group 2024 contribution to KBC’s strategy.</w:t>
      </w:r>
    </w:p>
    <w:p>
      <w:r>
        <w:t>Through progression reviews held with the manager, StiPPLE helps them focus on the right performance and development targets.</w:t>
      </w:r>
    </w:p>
    <w:p>
      <w:r>
        <w:t>Employees can also gain insight into the jobs that best match their profile and the skills they can still develop to achieve their further career ambitions.</w:t>
      </w:r>
    </w:p>
    <w:p>
      <w:r>
        <w:t>We are also supported by MyKate, every employee’s personal, digital assistant who, based on the right prompts at the right time, supports employees in their KBC journey by recommending learning opportunities and initiating actions that improve their performance and benefit their career.</w:t>
      </w:r>
    </w:p>
    <w:p>
      <w:r>
        <w:t>Good managers are key when it comes to bringing out the best in our employees and implementing the KBC strategy successfully.</w:t>
      </w:r>
    </w:p>
    <w:p>
      <w:r>
        <w:t>In 2024, it was precisely this sense of connection that rose to 82% in Belgium and to 73% at group level, as employees are proud of the stability of KBC as a company and of its innovative approach.</w:t>
      </w:r>
    </w:p>
    <w:p>
      <w:r>
        <w:t>Apart from engagement, the surveys also gauge the support for and impact of the KBC strategy among our employees, as well as other aspects of PEARL+, such as a sense of autonomy and empowerment.</w:t>
      </w:r>
    </w:p>
    <w:p>
      <w:r>
        <w:t>The outcome of the survey reveals, for example, that 80% of our employees throughout the group recognise how their job helps to put the KBC strategy into practice.</w:t>
      </w:r>
    </w:p>
    <w:p>
      <w:r>
        <w:t>Dividend policy and share buyback programme, see ‘We aim to achieve our ambitions within a stringent risk management framework’.</w:t>
      </w:r>
    </w:p>
    <w:p>
      <w:r>
        <w:t>Our social and relationship capital comprises all relationships with our clients, shareholders, government, regulators and other stakeholders, enabling us to remain socially relevant and to operate as a socially responsible business.</w:t>
      </w:r>
    </w:p>
    <w:p>
      <w:r>
        <w:t>This theme is dealt with in depth under ‘Our role in society’ in the ‘Our strategy’ section and in our Sustainability Statement.</w:t>
      </w:r>
    </w:p>
    <w:p>
      <w:r>
        <w:t>Key intangible resources in our business model include the values, loyalty, knowledge, motivation and responsible behaviour of our employees, our corporate culture, our capacity to innovate including in relation to software, AI, etc.</w:t>
      </w:r>
    </w:p>
    <w:p>
      <w:r>
        <w:t>We focus on our group’s long-term development and aim to achieve sustainable and profitable growth.</w:t>
      </w:r>
    </w:p>
    <w:p>
      <w:r>
        <w:t>Our employees also support and encourage the use of digital processes and monitor this use, supported by artificial intelligence, data and data analysis.</w:t>
      </w:r>
    </w:p>
    <w:p>
      <w:r>
        <w:t>Stringent risk management in everything we do is an absolute precondition in terms of guaranteeing sustainability.</w:t>
      </w:r>
    </w:p>
    <w:p>
      <w:r>
        <w:t>For more information on this, see ‘We aim to achieve our ambitions within a stringent risk management framework’.</w:t>
      </w:r>
    </w:p>
    <w:p>
      <w:r>
        <w:t>We monitor our long-term performance and our focus on the real economy and sustainability via a number of Key Performance Indicators KPIs.</w:t>
      </w:r>
    </w:p>
    <w:p>
      <w:r>
        <w:t>That is why this section mainly focuses on our sustainability strategy.</w:t>
      </w:r>
    </w:p>
    <w:p>
      <w:r>
        <w:t>Our sustainability strategy has been created to help us fulfil our role in society and to create value for all our stakeholders.</w:t>
      </w:r>
    </w:p>
    <w:p>
      <w:r>
        <w:t>The essence of the strategy is found in financial resilience and a strict risk management system that allows us to do business in a sustainable way.</w:t>
      </w:r>
    </w:p>
    <w:p>
      <w:r>
        <w:t>Our sustainability strategy is also underpinned by three important pillars, maximising the positive impact of our products and services on society and the environment, minimising or preventing potential negative impacts, and promoting responsible behaviour among all our employees.</w:t>
      </w:r>
    </w:p>
    <w:p>
      <w:r>
        <w:t>Sustainable business operations Facts and figures Methodological background Principles for Responsible Banking and Principles for Sustainable Insurance Principles for Responsible Banking Principles for Sustainable Insurance Since 2019, we have also mapped our material topics with the Sustainability Accounting Standards Board standards.</w:t>
      </w:r>
    </w:p>
    <w:p>
      <w:r>
        <w:t>Aiming to encourage responsible behaviour on the part of all our employees Our stakeholders’ trust depends entirely on responsible behaviour on the part of every employee.</w:t>
      </w:r>
    </w:p>
    <w:p>
      <w:r>
        <w:t>The basis of responsible behaviour is integrity, which requires honesty, fairness, transparency and confidentiality, as well as a healthy awareness of risk.</w:t>
      </w:r>
    </w:p>
    <w:p>
      <w:r>
        <w:t>We developed an online training course to clarify the importance of responsible behaviour and provide a framework to help our employees take difficult decisions when faced with dilemmas.</w:t>
      </w:r>
    </w:p>
    <w:p>
      <w:r>
        <w:t>In 2023, a new initiative in the form of a mandatory webinar was launched to raise awareness of 36 Annual Report KBC Group 2024 responsible behaviour, which had been completed by nearly all our employees at the end of June 2024.</w:t>
      </w:r>
    </w:p>
    <w:p>
      <w:r>
        <w:t>On this website, employees can read which responsible behaviour is expected of them and why, and conveniently search all material available on this topic.</w:t>
      </w:r>
    </w:p>
    <w:p>
      <w:r>
        <w:t>We communicate transparently on our rules and policy guidelines, which can be found at and in our ‘Sustainability statement’ elsewhere in this report.</w:t>
      </w:r>
    </w:p>
    <w:p>
      <w:r>
        <w:t>Aiming to enhance our positive impact on society We want to enhance our positive impact on society to which end we are focusing on four areas in which we, as a bankinsurer, can create added value, financial literacy, entrepreneurship, environmental awareness and longevity and/or health.</w:t>
      </w:r>
    </w:p>
    <w:p>
      <w:r>
        <w:t>Environmental awareness We reduce our own and indirect ecological footprint through a diverse range of initiatives and objectives.</w:t>
      </w:r>
    </w:p>
    <w:p>
      <w:r>
        <w:t>Limiting any negative impact we might have on society We apply strict sustainability rules to our business activities in respect of human rights, the environment, business ethics and sensitive or controversial social themes.</w:t>
      </w:r>
    </w:p>
    <w:p>
      <w:r>
        <w:t>A complete list and details of our sustainability policies can be found in our Sustainability Report and our Sustainability Framework at 37 Annual Report KBC Group 2024 The ‘Sustainability statement’ section provides more in-depth information about several sustainability policies, including on the following topics, Environment Energy Investments Biodiversity Mining Code of conduct for employees Whistleblowers Remuneration Diversity and inclusion Human rights Integrity Ethics and fraud Tax Anti-corruption and anti-bribery Anti-money laundering Dealing Code Suppliers Data protection Selection of objectives related to sustainability/climate and the environment Below, we provide a purely illustrative selection of sustainability and environmental objectives.</w:t>
      </w:r>
    </w:p>
    <w:p>
      <w:r>
        <w:t>We aim to achieve our ambitions within a stringent risk management framework Although the activities of a large financial group are exposed to risks that only become apparent in retrospect, we can currently identify a number of major challenges for our group.</w:t>
      </w:r>
    </w:p>
    <w:p>
      <w:r>
        <w:t>Non-financial risk operational risk, compliance risk, reputational risk, business risk, strategic risk Existence of a robust management framework Group key controls, risk scans, Key Risk Indicators KRIs, etc.</w:t>
      </w:r>
    </w:p>
    <w:p>
      <w:r>
        <w:t>Climate-related and other ESG risks These risks have been integrated into the existing risk management frameworks see above.</w:t>
      </w:r>
    </w:p>
    <w:p>
      <w:r>
        <w:t>Capital allocation policy up to and including 2024, in addition to the payout ratio of at least 50% of the consolidated profit, the Board of Directors will decide when announcing the annual results at its own discretion on the payment of the capital exceeding a 15.</w:t>
      </w:r>
    </w:p>
    <w:p>
      <w:r>
        <w:t>Sales of life insurance products amounted to 2 906 million euros, a 25% increase compared to 2023 as a result of higher sales of both unit-linked and non-unit-linked products, partly thanks to the inflow from the matured state note and a successful launch of structured emissions in Belgium.</w:t>
      </w:r>
    </w:p>
    <w:p>
      <w:r>
        <w:t>One of our main focus points is the further development of Kate, our digital assistant.</w:t>
      </w:r>
    </w:p>
    <w:p>
      <w:r>
        <w:t>We are making our banking, insurance and asset management products more sustainable to create financial leverage in achieving global climate targets.</w:t>
      </w:r>
    </w:p>
    <w:p>
      <w:r>
        <w:t>As regards environmental awareness, we remain committed to reducing our own footprint, but we also aim to actively assist our clients in their transition.</w:t>
      </w:r>
    </w:p>
    <w:p>
      <w:r>
        <w:t>Over 100 different investors participated in this issue, which enables KBC to continue to actively support the financing of environmentally sustainable economic activities.</w:t>
      </w:r>
    </w:p>
    <w:p>
      <w:r>
        <w:t>We once again took a number of initiatives in terms of our social engagement, focusing on environmental awareness, financial literacy, entrepreneurship and population ageing.</w:t>
      </w:r>
    </w:p>
    <w:p>
      <w:r>
        <w:t>ČSOB employees visit schools and give young people tips on how 2024 developments In the Czech Republic, too, the focus was on investing in the further expansion of our digital systems, with the aim of developing solutions intended to make our clients’ lives easier and helping them save time and earn money.</w:t>
      </w:r>
    </w:p>
    <w:p>
      <w:r>
        <w:t>To implement a socially responsible approach in all countries, with a particular focus on environmental awareness, financial literacy, entrepreneurship and health.</w:t>
      </w:r>
    </w:p>
    <w:p>
      <w:r>
        <w:t>We once again took a number of initiatives in terms of our social engagement, focusing on financial literacy, environmental responsibility, entrepreneurship and health.</w:t>
      </w:r>
    </w:p>
    <w:p>
      <w:r>
        <w:t>In addition, UBB collaborated with SIS, the Coca-Cola Foundation and Cleantech Bulgaria to develop sustainability programmes for SMEs.</w:t>
      </w:r>
    </w:p>
    <w:p>
      <w:r>
        <w:t>We launched two initiatives in 2024, an e-learning platform with courses on topics including sustainability, sustainable finance, circular economy and sustainability strategies, and an intensive programme for SMEs and NGOs seeking to integrate sustainability in their business models.</w:t>
      </w:r>
    </w:p>
    <w:p>
      <w:r>
        <w:t>The calculator gives our clients insight into their environmental impact and proposes steps they can take to reduce it.</w:t>
      </w:r>
    </w:p>
    <w:p>
      <w:r>
        <w:t>We remain committed to supporting women entrepreneurs as well as to promoting various sustainability themes in these countries, too.</w:t>
      </w:r>
    </w:p>
    <w:p>
      <w:r>
        <w:t>Priorities for risk management are defined in the KBC Risk Strategy.</w:t>
      </w:r>
    </w:p>
    <w:p>
      <w:r>
        <w:t>This strategy finds its origin in the KBC Risk Appetite, the 62 Annual Report KBC Group 2024 Corporate Strategy and the Pearl Culture, and sets the bar for risk management throughout KBC.</w:t>
      </w:r>
    </w:p>
    <w:p>
      <w:r>
        <w:t>The strategy of the risk, compliance and actuarial functions is based on three key pillars, Support the business, we support, advise and challenge the business both in its everyday activities ‘business as usual’ and in its transformation, aiming to help it keep KBC’s control environment up to standards and respect KBC’s risk appetite at all times.</w:t>
      </w:r>
    </w:p>
    <w:p>
      <w:r>
        <w:t>Moreover, we extend and improve our risk and compliance framework for an increasingly digital, interconnected and sustainable future.</w:t>
      </w:r>
    </w:p>
    <w:p>
      <w:r>
        <w:t>It is also accountable for having robust governance arrangements in place to ensure that all material risks of KBC Group are managed appropriately and for promoting a sound, consistent group-wide risk culture.</w:t>
      </w:r>
    </w:p>
    <w:p>
      <w:r>
        <w:t>Risk departments at group Group Risk, Group Credit Risk Directorate and Model &amp; Model Risk Management Division and local level present in the main entities in our home countries support the CROs and work closely together.</w:t>
      </w:r>
    </w:p>
    <w:p>
      <w:r>
        <w:t>The compliance Risk management refers to the coordinated set of activities to proactively identify and manage the risks that KBC faces.</w:t>
      </w:r>
    </w:p>
    <w:p>
      <w:r>
        <w:t>It refers to a set of minimum standards and risk methods, processes and tools that must be translated into all risk-type-specific Risk Management Frameworks RMFs and that all entities must adhere to.</w:t>
      </w:r>
    </w:p>
    <w:p>
      <w:r>
        <w:t>It is responsible for giving reasonable assurance to the Board that the overall internal control environment is effective, and that effective policies and processes are in place and applied consistently throughout the group.</w:t>
      </w:r>
    </w:p>
    <w:p>
      <w:r>
        <w:t>For more information on how ESG risk management is performed throughout the group, we refer to the Sustainability Statement in this report and to the KBC Risk Report 2024.</w:t>
      </w:r>
    </w:p>
    <w:p>
      <w:r>
        <w:t>Components of sound risk management 65 Annual Report KBC Group 2024 defined is provided in the ERMF and risk-type-specific frameworks.</w:t>
      </w:r>
    </w:p>
    <w:p>
      <w:r>
        <w:t>In order to ensure that risk measures are and remain fit for use and are of high quality, they are subject to strict and robust processes, including adequate documentation and strong governance.</w:t>
      </w:r>
    </w:p>
    <w:p>
      <w:r>
        <w:t>The RAS reflects the view of the Board and the ExCo on the acceptable level and composition of risks, ensuring coherence with the desired return and allowing the group to implement its corporate strategy within a clear risk playing field.</w:t>
      </w:r>
    </w:p>
    <w:p>
      <w:r>
        <w:t>The high-level risk appetite objectives, which are annually reviewed and reconfirmed by the Board, are further detailed for each separate risk type via qualitative and quantitative statements and via a risk appetite label, which can be Low, Medium or High.</w:t>
      </w:r>
    </w:p>
    <w:p>
      <w:r>
        <w:t>Lastly, risk appetite is translated into risk-type-specific group limits/targets annually approved by the Board, which are further cascaded down to the entities annually approved by the ExCo.</w:t>
      </w:r>
    </w:p>
    <w:p>
      <w:r>
        <w:t>This is done with the help of risk measures, which allow us to assess the materiality of risks, to monitor them over time with a frequency that is appropriate for the risk type and to assess the impact of risk management actions.</w:t>
      </w:r>
    </w:p>
    <w:p>
      <w:r>
        <w:t>An overview of the extensive set of risk measures in use in KBC both regulatory and internally 66 Annual Report KBC Group 2024 risk appetite as input into the planning cycle.</w:t>
      </w:r>
    </w:p>
    <w:p>
      <w:r>
        <w:t>Risk analysis, reporting, response and follow-up Risk analysis and reporting aim to give management an increased level of transparency by ensuring a comprehensive, forward-looking and ex-post view of the development of the risk profile versus the risk appetite and of the context in which KBC operates.</w:t>
      </w:r>
    </w:p>
    <w:p>
      <w:r>
        <w:t>This holistic risk report consists of risk signals considered material for the group, allowing us to take timely action if and as needed, and of an overview, for all risk types, of the development of various risk measures versus the risk appetite via the ‘health check’ dashboard.</w:t>
      </w:r>
    </w:p>
    <w:p>
      <w:r>
        <w:t>For instance, at least twice a year, it is supplemented with a detailed climate risk dashboard and an information risk management dashboard.</w:t>
      </w:r>
    </w:p>
    <w:p>
      <w:r>
        <w:t>Both the internal and external environment are scanned for events or developments that have already occurred or could occur and which directly or indirectly have or could have a significant impact on credit quality.</w:t>
      </w:r>
    </w:p>
    <w:p>
      <w:r>
        <w:t>Stress testing Stress testing is an important tool to support our risk management and decision-making processes by simulating the potential negative impact of specific events and/or movements in risk factors on KBC’s financial condition, so that we can better prepare for these situations or adjust our risk exposure proactively.</w:t>
      </w:r>
    </w:p>
    <w:p>
      <w:r>
        <w:t>As part of the annual ICAAP, ILAAP and ORSA processes, KBC simulates a once-in-20-years stress event to check and demonstrate that it is able to meet the regulatory capital and liquidity requirements and internal risk appetite targets even under such stressed conditions.</w:t>
      </w:r>
    </w:p>
    <w:p>
      <w:r>
        <w:t>Together with ‘probability of default’ and ‘exposure at default’, measures such as ‘expected loss’ and ‘loss given default’ form the building blocks for calculating the regulatory capital requirements for credit risk, as KBC has opted to use the Internal Ratings-Based approach for most of its portfolios.</w:t>
      </w:r>
    </w:p>
    <w:p>
      <w:r>
        <w:t>Managing market risk in non-trading activities AUDITED In the area of market risk in the non-trading activities, the ExCo is supported by the Group Asset and Liability Committee , which is to provide assistance in the area of integrated balance sheet management at group level.</w:t>
      </w:r>
    </w:p>
    <w:p>
      <w:r>
        <w:t>Measures are complemented by stress tests, covering back testing of prepayments, net interest income results under various scenarios, or the impact on regulatory capital stemming from interest, spread or equity risk residing within the banking books.</w:t>
      </w:r>
    </w:p>
    <w:p>
      <w:r>
        <w:t>KBC’s low risk profile for liquidity risk is illustrated by the fact that KBC is well above the thresholds for regulatory and internal liquidity measures.</w:t>
      </w:r>
    </w:p>
    <w:p>
      <w:r>
        <w:t>Managing market risk AUDITED In the area of market risk in the trading activities, the ExCo is supported by the Group Markets Committee , which advises on risk monitoring and capital usage with respect to trading activities.</w:t>
      </w:r>
    </w:p>
    <w:p>
      <w:r>
        <w:t>Regulatory capital for business lines not included in the Approved Internal Model is measured according to the Standardised approach.</w:t>
      </w:r>
    </w:p>
    <w:p>
      <w:r>
        <w:t>The Competence Centre is responsible for providing support for local implementation and for the functional direction of the insurance risk management processes of the insurance subsidiaries.</w:t>
      </w:r>
    </w:p>
    <w:p>
      <w:r>
        <w:t>The actuarial function helps to ensure continuous compliance with the requirements regarding the calculation of technical provisions and the risks arising from this calculation and assesses the reinsurance policy and underwriting risk.</w:t>
      </w:r>
    </w:p>
    <w:p>
      <w:r>
        <w:t>Risk measurement, technical insurance risk is measured by means of both regulatory measures, such as Solvency Capital Requirement and Best Estimate valuation of insurance liabilities, and internal measures on, for example, economic profitability of insurance portfolios and Non-life capital requirements based on internal stochastic models.</w:t>
      </w:r>
    </w:p>
    <w:p>
      <w:r>
        <w:t>Risk analysis, reporting, response and follow-up, operational risk analysis and reporting aim to give a transparent and comprehensive, forward-looking and ex-post view on the development of the risk profile and the context in which KBC operates.</w:t>
      </w:r>
    </w:p>
    <w:p>
      <w:r>
        <w:t>Structural reporting to the GICC via the Operational and Compliance Risk Report, to the Board, the RCC and the ExCo via the Integrated Risk Report takes place on a quarterly basis, and to the Global IT Committee on a monthly basis.</w:t>
      </w:r>
    </w:p>
    <w:p>
      <w:r>
        <w:t>To ensure that Information Security and Information Technology risks are effectively mitigated, a number of challenges are performed throughout the group on a regular basis, such as technical cyber resilience and readiness testing, detailed investigations, employee phishing tests, crisis simulations and other incident drills.</w:t>
      </w:r>
    </w:p>
    <w:p>
      <w:r>
        <w:t>Therefore, effective third-party risk management follows the stages of the life cycle for third-party arrangements, which includes due diligence, risk assessment, contracting, onboarding, ongoing monitoring and termination.</w:t>
      </w:r>
    </w:p>
    <w:p>
      <w:r>
        <w:t>Regulatory requirements regarding follow-up, measurement and reporting of outsourcing risk have increased over the years for example, via DORA and the EBA and EIOPA Guidelines on Outsourcing.</w:t>
      </w:r>
    </w:p>
    <w:p>
      <w:r>
        <w:t>As contracting external service providers is an essential part of operational processes and intra-group outsourcing is an important aspect of the KBC strategy, the need to focus on outsourcing risk remains a key element of group-wide risk management.</w:t>
      </w:r>
    </w:p>
    <w:p>
      <w:r>
        <w:t>Qualitative risk governance of KBC outsourced activities is ensured by regular risk assessments, their frequency being defined by the criticality of the outsourced activity.</w:t>
      </w:r>
    </w:p>
    <w:p>
      <w:r>
        <w:t>Model risk management KBC’s data-driven strategy is underpinned by an expanding set of advanced mathematical, statistical and numerical models to support decision-making, measure and manage risk, manage businesses and streamline processes.</w:t>
      </w:r>
    </w:p>
    <w:p>
      <w:r>
        <w:t>KBC’s model risk management standards establish a framework that allows us to identify, understand and efficiently manage model risk, similar to any other risk type.</w:t>
      </w:r>
    </w:p>
    <w:p>
      <w:r>
        <w:t>This loss of reputation can also be the result of non-compliance with the internal policy in this regard and with the institution’s own values and codes of conduct in relation to the integrity of its activities.</w:t>
      </w:r>
    </w:p>
    <w:p>
      <w:r>
        <w:t>Compliance risk is covered by a holistic framework that includes the Compliance Charter, the Integrity Policy, the specific risk appetite and the accompanying Key Risk Indicators, the Group Compliance Rules, the Compliance Monitoring Programme and other reporting.</w:t>
      </w:r>
    </w:p>
    <w:p>
      <w:r>
        <w:t>To guarantee the independence of the compliance function, proper governance is in place with an adequate escalation process to the ExCo, the RCC and the Board.</w:t>
      </w:r>
    </w:p>
    <w:p>
      <w:r>
        <w:t>The governance of the compliance function is described in more detail in the Compliance Charter and is in line with EBA/EIOPA guidelines on internal governance.</w:t>
      </w:r>
    </w:p>
    <w:p>
      <w:r>
        <w:t>The compliance function’s role in managing these risks is twofold, On the one hand, it is particularly dedicated to the identification, assessment and analysis of the risks linked to the compliance domains.</w:t>
      </w:r>
    </w:p>
    <w:p>
      <w:r>
        <w:t>This preventive role is put into practice by Group Compliance Rules that define minimum requirements for the entire group, the provision of procedures and instructions, tailored training courses and awareness initiatives, information on new regulatory developments to the governance bodies, support in the implementation of the group strategy, and the implementation of legal and regulatory requirements by the various businesses concerned.</w:t>
      </w:r>
    </w:p>
    <w:p>
      <w:r>
        <w:t>Together with the other control functions, the compliance function ensures that, under the NAPP, the launch of any new products conforms with the many legal and regulatory provisions in place, such as MiFID II, the Insurance Distribution Directive and other local and EU Regulations, as well as being in line with KBC’s values.</w:t>
      </w:r>
    </w:p>
    <w:p>
      <w:r>
        <w:t>On the other hand – as the second Line of Defence – it carries out risk-based monitoring to ensure the adequacy of the internal control environment.</w:t>
      </w:r>
    </w:p>
    <w:p>
      <w:r>
        <w:t>More specifically, monitoring allows it to verify whether legal and regulatory requirements are correctly implemented in the compliance domains.</w:t>
      </w:r>
    </w:p>
    <w:p>
      <w:r>
        <w:t>Moreover, quality controls are performed by Group Compliance in the main group entities to assure the Board that the compliance risk is properly assessed by the local compliance function.</w:t>
      </w:r>
    </w:p>
    <w:p>
      <w:r>
        <w:t>Insight into managing some specific compliance domains Group Compliance has been working on developing the foundations of a strong group-wide compliance function.</w:t>
      </w:r>
    </w:p>
    <w:p>
      <w:r>
        <w:t>Going forward, the focus will be on further improving the methodology and processes within the compliance function in order to provide the necessary assurance to the Board and the regulator.</w:t>
      </w:r>
    </w:p>
    <w:p>
      <w:r>
        <w:t>The goal is to achieve group-wide synergy and scalability at all levels and in all domains, for example by means of risk assessments, regulatory watches, knowledge management, etc.</w:t>
      </w:r>
    </w:p>
    <w:p>
      <w:r>
        <w:t>The main goal is a holistic, risk-based and data-driven approach to compliance.</w:t>
      </w:r>
    </w:p>
    <w:p>
      <w:r>
        <w:t>Efforts are continuously made to adapt the organisation to a constantly changing regulatory 94 Annual Report KBC Group 2024 environment, particularly with regard to clients who present an increased risk and for whom additional information is required.</w:t>
      </w:r>
    </w:p>
    <w:p>
      <w:r>
        <w:t>As such, the compliance function is also closely following the EU developments at the level of the new AML Authority and regulatory provisions expected.</w:t>
      </w:r>
    </w:p>
    <w:p>
      <w:r>
        <w:t>Special emphasis is placed on a preventive risk management approach for example, embargo circumvention measures.</w:t>
      </w:r>
    </w:p>
    <w:p>
      <w:r>
        <w:t>In the context of KBC’s data-driven strategy, it is crucial to pay attention to all upcoming regulatory developments in the data and consumer protection domains to ensure future-proof, reliable and dependable bankinsurance activities for KBC clients.</w:t>
      </w:r>
    </w:p>
    <w:p>
      <w:r>
        <w:t>The compliance function closely follows up on the regulatory developments impacting the data and/or consumer protection domains such as FIDA, PSD3/PSR and the Basic Banking Service.</w:t>
      </w:r>
    </w:p>
    <w:p>
      <w:r>
        <w:t>Strong corporate governance practices strengthen KBC in dealing with, and controlling, compliance risk.</w:t>
      </w:r>
    </w:p>
    <w:p>
      <w:r>
        <w:t>As in previous years, Compliance therefore advises on and monitors compliance with governance aspects of CRD IV and V and Solvency II such as outsourcing, the functioning and composition of committees, Fit &amp; Proper, the incompatibility of mandates, follow-up of complaints handling, conflicts of interest, sound remuneration, etc.</w:t>
      </w:r>
    </w:p>
    <w:p>
      <w:r>
        <w:t>Additionally, governance of the compliance function, as an independent control function, is of essential importance when dealing with compliance risk.</w:t>
      </w:r>
    </w:p>
    <w:p>
      <w:r>
        <w:t>Continuous efforts are made to strengthen compliance governance and enhance group-wide steering, alignment and cooperation with local entities.</w:t>
      </w:r>
    </w:p>
    <w:p>
      <w:r>
        <w:t>Corporate governance principles also go hand in hand with the concept of responsible behaviour, which is one of the three cornerstones of KBC's sustainability strategy.</w:t>
      </w:r>
    </w:p>
    <w:p>
      <w:r>
        <w:t>Together with business ethics, responsible behaviour is essential in ensuring that KBC maintains one of its most valuable assets, trust.</w:t>
      </w:r>
    </w:p>
    <w:p>
      <w:r>
        <w:t>We promote a strong corporate culture that encourages responsible behaviour throughout the organisation, including social and environmental responsibilities.</w:t>
      </w:r>
    </w:p>
    <w:p>
      <w:r>
        <w:t>Proactive and reactive management of reputational risk is the responsibility of the business, supported by specialist units including Group Communication, Investor Relations and Group Compliance.</w:t>
      </w:r>
    </w:p>
    <w:p>
      <w:r>
        <w:t>In this respect, we actively monitor a non-exhaustive list of business indicators which provide valuable input from a risk management perspective, including Net Promoter Scores , the Corporate Reputation Index, statistics on complaints, ESG ratings and the development of the stock price index and other financial indicators.</w:t>
      </w:r>
    </w:p>
    <w:p>
      <w:r>
        <w:t>It aims to achieve the best possible balance between regulatory requirements, rating agencies’ views, market expectations and management ambitions.</w:t>
      </w:r>
    </w:p>
    <w:p>
      <w:r>
        <w:t>Since 31 December 2021, the fully loaded figures immediately reflect the interim or annual profit, taking into account our Dividend Policy and/or any dividend proposal/decision by the Board of Directors.</w:t>
      </w:r>
    </w:p>
    <w:p>
      <w:r>
        <w:t>Given the long-term nature of their commitment, the core shareholders inherently pay particular attention to value creation, a solid capital base, prudent risk management, sustainability and social relevance in the geographical areas where the group is active.</w:t>
      </w:r>
    </w:p>
    <w:p>
      <w:r>
        <w:t>The aim of this policy is to guarantee diversity in terms of know-how, experience, gender and geographical background.</w:t>
      </w:r>
    </w:p>
    <w:p>
      <w:r>
        <w:t>It aims to ensure that the Board and the ExCo can both fall back on a broad base of relevant competences and know-how and receive diverse opinions and input for their decision-making process.</w:t>
      </w:r>
    </w:p>
    <w:p>
      <w:r>
        <w:t>The policy also stipulates that, At least one-third of the Board’s members must be of a different gender than the other members.</w:t>
      </w:r>
    </w:p>
    <w:p>
      <w:r>
        <w:t>The Board will see to it that this diversity policy is applied properly when deciding on the profile of a new director or a new member of the ExCo.</w:t>
      </w:r>
    </w:p>
    <w:p>
      <w:r>
        <w:t>The other member of the Remuneration Committee is, Philippe Vlerick non-executive director, who holds a Bachelor’s Degree in Philosophy, a Master’s Degree in Law KU Leuven, a Master’s Degree in Management Vlerick Business School in Ghent and an MBA degree Indiana University, Bloomington, USA.</w:t>
      </w:r>
    </w:p>
    <w:p>
      <w:r>
        <w:t>KPMG Bedrijfsrevisoren was also appointed by the Annual Meeting in 2024 as auditor for the assurance of the sustainability reporting.</w:t>
      </w:r>
    </w:p>
    <w:p>
      <w:r>
        <w:t>In addition, the Board focused on the strategy and specific challenges for the different areas of activity.</w:t>
      </w:r>
    </w:p>
    <w:p>
      <w:r>
        <w:t>Furthermore, an exhaustive training programme was developed and rolled out covering the insurance activities.</w:t>
      </w:r>
    </w:p>
    <w:p>
      <w:r>
        <w:t>Risk &amp; Compliance Committee The RCC advises the Board on current and future risk tolerance and on risk strategy, and assists it in supervising how the ExCo implements this strategy.</w:t>
      </w:r>
    </w:p>
    <w:p>
      <w:r>
        <w:t>Measures regarding insider dealing and market manipulation The Dealing Code requires a list of key employees to be drawn up, annual blocking periods to be set, and transactions by persons with managerial responsibility and with persons connected with them to be reported to the Belgian Financial Services and Markets Authority .</w:t>
      </w:r>
    </w:p>
    <w:p>
      <w:r>
        <w:t>The KBC group has a dual governance structure based on the Belgian model, The Board is responsible for defining general strategy and policy.</w:t>
      </w:r>
    </w:p>
    <w:p>
      <w:r>
        <w:t>Corporate culture and integrity policy Ethical behaviour and integrity are essential components of sound business practice.</w:t>
      </w:r>
    </w:p>
    <w:p>
      <w:r>
        <w:t>Honesty, integrity, transparency and confidentiality, together with sound risk management, are part of the strict ethical standards that KBC stands for – both in the letter and the spirit of the regulations.</w:t>
      </w:r>
    </w:p>
    <w:p>
      <w:r>
        <w:t>We refer to our Sustainability statement elsewhere in this annual report, in which we elaborate on our policies on domains such as integrity, combating corruption and bribery, anti-money laundering practices, responsible taxpayers, whistleblowers and data protection.</w:t>
      </w:r>
    </w:p>
    <w:p>
      <w:r>
        <w:t>Internal Audit provides reasonable assurance about whether the internal control and risk management processes, including corporate governance, are effective and efficient.</w:t>
      </w:r>
    </w:p>
    <w:p>
      <w:r>
        <w:t>As independent third line of defence reporting to the AC, it performs risk-oriented audits to this end and ensures that policy measures and processes are in place that are consistently applied within the group to guarantee the continuity of operations.</w:t>
      </w:r>
    </w:p>
    <w:p>
      <w:r>
        <w:t>On 6 November 2024, the Board decided to use its authorisation to increase capital by issuing shares with preferential subscription rights cancelled to employees.</w:t>
      </w:r>
    </w:p>
    <w:p>
      <w:r>
        <w:t>It is monitored and regularly checked by the Remuneration Committee to see whether it complies with changes in the law, the Code, and prevailing market practices and trends.</w:t>
      </w:r>
    </w:p>
    <w:p>
      <w:r>
        <w:t>If required by law, the Board will submit any policy changes to the General Meeting for approval.</w:t>
      </w:r>
    </w:p>
    <w:p>
      <w:r>
        <w:t>On the basis of advice obtained from the Remuneration Committee and taking account of the established remuneration policy, the Board determines the remuneration to be granted to members of the ExCo, and assesses this amount at regular intervals.</w:t>
      </w:r>
    </w:p>
    <w:p>
      <w:r>
        <w:t>Non-compliance with the Corporate Governance Code The Corporate Governance Code stipulates that members of the Board should receive a portion of their remuneration in the form of company shares as a way of encouraging them to act as long-term shareholders or, as phrased by the Corporate Governance Commission, to ensure that the directors have ‘skin in the game’.</w:t>
      </w:r>
    </w:p>
    <w:p>
      <w:r>
        <w:t>Consequently, the Remuneration Committee believes it is not necessary to implement this rule to achieve the intended objective.</w:t>
      </w:r>
    </w:p>
    <w:p>
      <w:r>
        <w:t>The Remuneration Committee advised the Board not to implement this particular provision of the Code.</w:t>
      </w:r>
    </w:p>
    <w:p>
      <w:r>
        <w:t>The sustainability policy is another element that is taken into account when setting variable remuneration.</w:t>
      </w:r>
    </w:p>
    <w:p>
      <w:r>
        <w:t>On the basis of this assessment, the Remuneration Committee proposes a percentage between 0 and 100% to the Board.</w:t>
      </w:r>
    </w:p>
    <w:p>
      <w:r>
        <w:t>Empowerment We offer every employee the chance to develop their creativity and talent.</w:t>
      </w:r>
    </w:p>
    <w:p>
      <w:r>
        <w:t>The performance of the ExCo in each of these four areas determines the size of this variable remuneration component, with each area accounting for 40%, 20%, 20% and 20%, respectively the breakdown was 25%/25%/25%/25% up to and including 2023.</w:t>
      </w:r>
    </w:p>
    <w:p>
      <w:r>
        <w:t>The Board decided to increase the share of the strategy component to highlight the importance of the Ecosphere strategy and the increase in the number of bank-insurance clients.</w:t>
      </w:r>
    </w:p>
    <w:p>
      <w:r>
        <w:t>Criteria for awarding members of the ExCo the profit-related variable remuneration component Explanation Weighting* Implementing strategy Besides achieving any specific targets, the main focus is on what has been achieved in terms of client centricity, sustainability and innovation.</w:t>
      </w:r>
    </w:p>
    <w:p>
      <w:r>
        <w:t>In 2024, this primarily involved further progress in the implementation of the Ecosphere strategy including Kate and Kate coins, qualitative and quantitative progress made in the area of bank-insurance clients, digital sales and STP straight-through processing, the implementation of the Temenos platform, and progress, both qualitative and quantitative, on key sustainability indicators.</w:t>
      </w:r>
    </w:p>
    <w:p>
      <w:r>
        <w:t>In addition to enhancing the risk control environment, many of these criteria also contribute to strengthening the company’s good governance and to encouraging responsible conduct.</w:t>
      </w:r>
    </w:p>
    <w:p>
      <w:r>
        <w:t>This is embedded in the structure of the payment of the variable remuneration, Half of the remuneration is linked to the development of the price of the KBC share over a period of seven years following the performance year by distributing phantom stocks.</w:t>
      </w:r>
    </w:p>
    <w:p>
      <w:r>
        <w:t>Events that have a material negative impact on KBC’s results or reputation may give rise to non-payment or reduced payment of the variable remuneration.</w:t>
      </w:r>
    </w:p>
    <w:p>
      <w:r>
        <w:t>The final amount is set by the Board on the advice of the Remuneration Committee, based on an assessment of the individual and collective achievements during the previous financial year.</w:t>
      </w:r>
    </w:p>
    <w:p>
      <w:r>
        <w:t>The strategy target carries more weight this year 40%, compared to 25% in 2023, which explains the year-on-year development.</w:t>
      </w:r>
    </w:p>
    <w:p>
      <w:r>
        <w:t>All criteria related to the group’s good governance practices were met.</w:t>
      </w:r>
    </w:p>
    <w:p>
      <w:r>
        <w:t>This also contributes to responsible behaviour throughout the group, an important cornerstone of our sustainability strategy.</w:t>
      </w:r>
    </w:p>
    <w:p>
      <w:r>
        <w:t>Employee satisfaction, NPS scores and reputation also benefit from good governance and responsible behaviour, to which considerable attention is paid.</w:t>
      </w:r>
    </w:p>
    <w:p>
      <w:r>
        <w:t>Nor did we use the exemption that allows us to decide, in exceptional cases, to omit information relating to impending developments or matters in the course of negotiation, where the disclosure of such information would be seriously prejudicial to the commercial position of the group and provided that such omission does not prevent a fair and balanced understanding of the group’s development, performance, and position, and the impact of its activity.</w:t>
      </w:r>
    </w:p>
    <w:p>
      <w:r>
        <w:t>GHG emissions – Scope 3 – lending Data availability/quality For financed emissions associated with our lending activities, we use the PCAF global standard.</w:t>
      </w:r>
    </w:p>
    <w:p>
      <w:r>
        <w:t>GHG emissions – Scope 3 – asset management activities, sovereign bond portfolio of KBC Bank and own investments insurance Data availability/quality We use emissions data from an external data provider.</w:t>
      </w:r>
    </w:p>
    <w:p>
      <w:r>
        <w:t>Disclosures about our ESG-related risk management practices are included throughout this Sustainability Statement.</w:t>
      </w:r>
    </w:p>
    <w:p>
      <w:r>
        <w:t>As the highestlevel supervisory body, it oversees the implementation and progress of the sustainability strategy.</w:t>
      </w:r>
    </w:p>
    <w:p>
      <w:r>
        <w:t>Important changes to sustainability policies and sustainability-related reporting are discussed at Board level, when required.</w:t>
      </w:r>
    </w:p>
    <w:p>
      <w:r>
        <w:t>Furthermore, the ExCo has defined climate and environmental risk, cyber risk, compliance risk and conduct risk as top risks for KBC.</w:t>
      </w:r>
    </w:p>
    <w:p>
      <w:r>
        <w:t>This responsibility includes making proposals to the Board on the sustainability strategy and policies as well as monitoring the groupwide implementation thereof.</w:t>
      </w:r>
    </w:p>
    <w:p>
      <w:r>
        <w:t>They are responsible for internal control measures for impacts and risks as well as for pursuing opportunities within the confines of KBC’s overarching strategy as set by the Board.</w:t>
      </w:r>
    </w:p>
    <w:p>
      <w:r>
        <w:t>The AC ensures that the ExCo establishes adequate and effective internal control measures and monitors KBC’s sustainability reporting processes.</w:t>
      </w:r>
    </w:p>
    <w:p>
      <w:r>
        <w:t>The members of the ISB are responsible for communicating on sustainability matters within their respective business lines and countries, for creating a support and sponsorship base and for making the group’s sustainability strategy work.</w:t>
      </w:r>
    </w:p>
    <w:p>
      <w:r>
        <w:t>The ESB advises Group Corporate Sustainability on sustainability policies and strategy, whereas the RI Advisory Board oversees the screening of the responsible nature of our RI funds.</w:t>
      </w:r>
    </w:p>
    <w:p>
      <w:r>
        <w:t>All ESG-related targets are reviewed and approved by the ExCo and endorsed by the Board.</w:t>
      </w:r>
    </w:p>
    <w:p>
      <w:r>
        <w:t>Twice a year, the Board reviews a comprehensive overview of all sustainability-related domains and climate targets by means of the KBC Sustainability Dashboard.</w:t>
      </w:r>
    </w:p>
    <w:p>
      <w:r>
        <w:t>This dashboard provides measurable and verifiable parameters related to the key themes and actions of our sustainability strategy.</w:t>
      </w:r>
    </w:p>
    <w:p>
      <w:r>
        <w:t>The following figure depicts an overview of our sustainability governance, including the role of and reporting lines to the different bodies.</w:t>
      </w:r>
    </w:p>
    <w:p>
      <w:r>
        <w:t>This includes our policy on climate change, as well as other relevant sustainability issues such as gender diversity.</w:t>
      </w:r>
    </w:p>
    <w:p>
      <w:r>
        <w:t>Executive Committee, is responsible for the implementation of the sustainability strategy, including the policy on climate change.</w:t>
      </w:r>
    </w:p>
    <w:p>
      <w:r>
        <w:t>Group Corporate Sustainability, responsible for developing, implementing and supervising the sustainability strategy.</w:t>
      </w:r>
    </w:p>
    <w:p>
      <w:r>
        <w:t>The team reports to the ISB on the implementation of the strategy and prepares the KBC Sustainability Dashboard.</w:t>
      </w:r>
    </w:p>
    <w:p>
      <w:r>
        <w:t>They are responsible for communication on sustainability in every country and for the integration of the sustainability strategy.</w:t>
      </w:r>
    </w:p>
    <w:p>
      <w:r>
        <w:t>The suitability assessment covers the capability to understand and critically assess climaterelated and environmental risks, cybersecurity and business conduct risks including money laundering and financing terrorism risks, as well as the capability to critically assess risk, audit and compliance reports and the functioning of the risk, audit and compliance functions.</w:t>
      </w:r>
    </w:p>
    <w:p>
      <w:r>
        <w:t>Furthermore, the Board and the ExCo review the corporate sustainability strategy, progress on the Sustainable Finance Programme and our external sustainability reports on a regular basis.</w:t>
      </w:r>
    </w:p>
    <w:p>
      <w:r>
        <w:t>This includes matters such as headcount evolution, external hiring and appointments, performance and appraisals, results of our employee engagement survey, and training.</w:t>
      </w:r>
    </w:p>
    <w:p>
      <w:r>
        <w:t>Material sustainability matters addressed by the governance bodies in 2024 ExCo RCC AC Board Climate change Climate change mitigation Energy Climate change adaptation Water and marine resources Biodiversity and ecosystems Own workforce Working conditions Equal treatment and opportunities for all Other privacy Consumers and end-users Information-related including cybersecurity Social inclusion Business conduct Business ethics and corporate culture Relationship with suppliers Integration of sustainability-related performance in incentive schemes 1.</w:t>
      </w:r>
    </w:p>
    <w:p>
      <w:r>
        <w:t>The three cornerstones of our sustainability strategy are properly reflected to incentivise our management bodies to limit our negative impact on society, to increase our positive impact and to encourage responsible behaviour among all staff members.</w:t>
      </w:r>
    </w:p>
    <w:p>
      <w:r>
        <w:t>Hence, the variable remuneration focuses on enabling the transition to a sustainable future, on good governance, on responsible behaviour and on providing sustainable solutions to our clients.</w:t>
      </w:r>
    </w:p>
    <w:p>
      <w:r>
        <w:t>Moreover, sustainability-related matters and metrics are taken into consideration in the overall assessment as described in the Corporate Governance Statement and affect the variable remuneration.</w:t>
      </w:r>
    </w:p>
    <w:p>
      <w:r>
        <w:t>Climate-related considerations, which mainly include progress against our GHG emissions reduction targets, form an integral part of the assessment for determining the variable remuneration component.</w:t>
      </w:r>
    </w:p>
    <w:p>
      <w:r>
        <w:t>Climate-related considerations also include the development of sustainable products and our own ecological footprint within the implementation of our strategy and stakeholder satisfaction.</w:t>
      </w:r>
    </w:p>
    <w:p>
      <w:r>
        <w:t>We are continuously striving towards more robust sustainability reporting, and this requires adequate risk management and internal control processes, as further described in this section.</w:t>
      </w:r>
    </w:p>
    <w:p>
      <w:r>
        <w:t>The coordination of our Sustainability Statement is led by our Finance department, which safeguards compliance with the ESRS requirements.</w:t>
      </w:r>
    </w:p>
    <w:p>
      <w:r>
        <w:t>The 141 Annual Report KBC Group 2024 members of the CSRD Steering Committee represent top management of the main involved internal stakeholders such as the Sustainability, Finance, Risk, Credit Risk, HR and Compliance departments.</w:t>
      </w:r>
    </w:p>
    <w:p>
      <w:r>
        <w:t>Risk related to sustainability reporting processes Type of risk Description Mitigation of risk Regulatory risks Changing external regulatory frameworks and evolving standards can put increasing pressure and non-compliance can result in regulatory fines.</w:t>
      </w:r>
    </w:p>
    <w:p>
      <w:r>
        <w:t>We closely monitor the regulatory landscape and corresponding guidance Data quality and verification risks External sustainability data often lacks standardisation, making it challenging to ensure consistent and comparable reporting.</w:t>
      </w:r>
    </w:p>
    <w:p>
      <w:r>
        <w:t>Since 2022, sustainability data is managed via KBC’s dedicated Data &amp; Metrics project with a separate Steering Committee, involving all core countries and group functions Legal, compliance and reputational risks Risk of greenwashing The information in this statement is based on factual information and subject to internal controls, including the four-eyes principle Operational risks Sustainability reporting has to be integrated into existing systems, processes and reports which is a complex task that – without proper automation – can lead to inefficiencies and manual errors.</w:t>
      </w:r>
    </w:p>
    <w:p>
      <w:r>
        <w:t>We support our clients in their sustainability transitions through our different core activities.</w:t>
      </w:r>
    </w:p>
    <w:p>
      <w:r>
        <w:t>We want to collaborate with our clients and other stakeholders to achieve this goal.</w:t>
      </w:r>
    </w:p>
    <w:p>
      <w:r>
        <w:t>Our sustainability-related goals are linked to the Sustainable Development Goals SDGs established by the United Nations.</w:t>
      </w:r>
    </w:p>
    <w:p>
      <w:r>
        <w:t>In all our core countries, our current significant products and services and significant client groups are considered in relation to these goals as follows, SDG 3 Good health and well-being, we value a work-life balance for our employees and design our products to enhance healthcare, quality of life and road safety.</w:t>
      </w:r>
    </w:p>
    <w:p>
      <w:r>
        <w:t>SDG 7 Affordable and clean energy, we promote local renewable energy production and its efficient use.</w:t>
      </w:r>
    </w:p>
    <w:p>
      <w:r>
        <w:t>We especially support start-ups and scale-ups with a focus on female entrepreneurship through our Start it community.</w:t>
      </w:r>
    </w:p>
    <w:p>
      <w:r>
        <w:t>Our microfinance and microinsurance activities provide rural entrepreneurs in the Global South with access to financial services, driving sustainable local development and financial inclusion.</w:t>
      </w:r>
    </w:p>
    <w:p>
      <w:r>
        <w:t>SDG 13 Climate action, we implement strict sustainability policies across our core activities and have set climate targets in our lending and investment portfolio to align with the Paris Agreement.</w:t>
      </w:r>
    </w:p>
    <w:p>
      <w:r>
        <w:t>We engage with clients as well as our investees to reduce their climate impact while also working to minimise our own footprint.</w:t>
      </w:r>
    </w:p>
    <w:p>
      <w:r>
        <w:t>Our sustainability strategy is linked to the SDGs described above, Limiting our adverse impact by applying strict rules to our business activities related to the impacts identified, linked to SDG 7, SDG 12 and SDG 13.</w:t>
      </w:r>
    </w:p>
    <w:p>
      <w:r>
        <w:t>As a bank we create this sustainable value by offering, for example, sustainable investments to our clients to enable them to grow their wealth and by lending to different client groups such as private individuals, companies and governments and sectors including, for example, social profit and infrastructure to support the economy.</w:t>
      </w:r>
    </w:p>
    <w:p>
      <w:r>
        <w:t>Other non-financial services such as real estate, roadside assistance, employee benefits, support for start-ups, etc.</w:t>
      </w:r>
    </w:p>
    <w:p>
      <w:r>
        <w:t>Furthermore, the ExCo and the Board are informed about the outcome of the materiality assessment which also gives insight in the interests and views of the abovementioned stakeholders.</w:t>
      </w:r>
    </w:p>
    <w:p>
      <w:r>
        <w:t>Through our insurance activities, we have a potential positive impact by supporting the transition to alternative energy sources and mitigating the effects of climate change by developing specific insurance products and services and by implementing strict policies on the underlying subject of insurance.</w:t>
      </w:r>
    </w:p>
    <w:p>
      <w:r>
        <w:t>In our upstream value chain, we also have a potential positive impact on climate change mitigation and energy by encouraging our suppliers to reduce GHG emissions and transition to renewable energy sources.</w:t>
      </w:r>
    </w:p>
    <w:p>
      <w:r>
        <w:t>These climate risks can lead to financial risks credit, market, liquidity and technical insurance risk and non-financial risks operational, reputational and compliance risk.</w:t>
      </w:r>
    </w:p>
    <w:p>
      <w:r>
        <w:t>For example, over the short, medium and long term, transition risks can lead to sudden repricing of assets, market volatility, credit losses and climate-related litigation resulting from financing obsolete brown technology or infrastructure, impacting lending and investment portfolios, whereas physical risk can significantly increase the level of claims under the insurance policies we provide as well as impact the value of our assets or collateral over the medium and long term.</w:t>
      </w:r>
    </w:p>
    <w:p>
      <w:r>
        <w:t>These opportunities are mainly situated in our downstream value chain, where we support our clients in preparing and executing their own climate and energy transition plans by offering a broad range of lending, insurance and advisory products and services including non-financial products and services.</w:t>
      </w:r>
    </w:p>
    <w:p>
      <w:r>
        <w:t>Biodiversity and ecosystems Our materiality assessment indicates that, for our own operations, biodiversity and ecosystems are not a material topic.</w:t>
      </w:r>
    </w:p>
    <w:p>
      <w:r>
        <w:t>However, the impact of our lending and investing activities on biodiversity and ecosystems is deemed material in the medium term.</w:t>
      </w:r>
    </w:p>
    <w:p>
      <w:r>
        <w:t>Potential negative impacts arise from funding and investing in activities both own investments and on behalf of clients associated with unsustainable land use and other drivers of biodiversity and ecosystems loss.</w:t>
      </w:r>
    </w:p>
    <w:p>
      <w:r>
        <w:t>KBC strives to create a stimulating work environment where our employees get the opportunity to develop themselves, to express their ideas and to take responsibility corporate citizenship.</w:t>
      </w:r>
    </w:p>
    <w:p>
      <w:r>
        <w:t>Here, we particularly have a positive impact on diversity through our recently updated Diversity and Inclusion Policy as well as through the measures we have in place against violence and harassment in the workplace.</w:t>
      </w:r>
    </w:p>
    <w:p>
      <w:r>
        <w:t>On top of that, we also focus on the development of talent and skills through extensive training opportunities.</w:t>
      </w:r>
    </w:p>
    <w:p>
      <w:r>
        <w:t>The digital interactions with our consumers and end-users form the basis of our business model in our strategy, not only in terms of sales and advice, but also in process and product development.</w:t>
      </w:r>
    </w:p>
    <w:p>
      <w:r>
        <w:t>In doing so, we take into account potential negative impacts related to matters such as privacy, access to quality information, responsible marketing practices and cybersecurity.</w:t>
      </w:r>
    </w:p>
    <w:p>
      <w:r>
        <w:t>In terms of social inclusion, we could also have a potential material negative medium-term impact on our consumers and end-users when our marketing practices are not clear, straightforward and accurate in this case the information is not suitable to enable consumers to make informed decisions.</w:t>
      </w:r>
    </w:p>
    <w:p>
      <w:r>
        <w:t>The material risks identified for our own operations and upstream activities that relate to consumers and end-users can emerge over the short, medium and long term from the negative impacts as highlighted above cyber risks, data protection issues, information-related risks, social exclusion and can lead to non-financial risks operational, reputational and compliance risk.</w:t>
      </w:r>
    </w:p>
    <w:p>
      <w:r>
        <w:t>Risks could emerge over the short, medium and long term if our own business conduct i.</w:t>
      </w:r>
    </w:p>
    <w:p>
      <w:r>
        <w:t>Responsible behaviour in general, including our practices regarding responsible tax practices, bribery and corruption, whistle-blowing channels, anti-money laundering and counter terrorist financing and related policies are not properly established and managed, leading to non-financial risks legal and compliance risk.</w:t>
      </w:r>
    </w:p>
    <w:p>
      <w:r>
        <w:t>Furthermore, operational and compliance risks can emerge over the short, medium and long term in case the relationships with our suppliers would be damaged by, for example, inadequate payment practices or when KBC would engage/contract suppliers involved in corruption and bribery.</w:t>
      </w:r>
    </w:p>
    <w:p>
      <w:r>
        <w:t>Throughout our value chain, we examine the current and anticipated effects of our material environmental impacts, risks and opportunities on our sustainability strategy and business model.</w:t>
      </w:r>
    </w:p>
    <w:p>
      <w:r>
        <w:t>We value the day-to-day work of all our employees as a crucial enabler for implementing our strategy and creating sustainable value.</w:t>
      </w:r>
    </w:p>
    <w:p>
      <w:r>
        <w:t>Through its sustainability strategy, KBC aims to take up its role in society and create value for its stakeholders.</w:t>
      </w:r>
    </w:p>
    <w:p>
      <w:r>
        <w:t>In general, our strategy seeks to safeguard our business whilst preparing ourselves for the evolving regulatory context, the geopolitical context and macroeconomic changes, rapidly changing technologies, societal changes, shifts in client behaviour and other sustainability evolutions.</w:t>
      </w:r>
    </w:p>
    <w:p>
      <w:r>
        <w:t>During our annual financial planning cycle, we explicitly consider sustainability across all levels of the organisation, among other things by including plans to meet our climate targets, detecting opportunities, and integrating ESG risk into the risk appetite.</w:t>
      </w:r>
    </w:p>
    <w:p>
      <w:r>
        <w:t>Our solid risk management framework and risk appetite further ensure financial and operational resilience, taking into account all of the identified material risks in the short, medium and long term and across environmental, social and governance matters.</w:t>
      </w:r>
    </w:p>
    <w:p>
      <w:r>
        <w:t>Particularly in the context of climate risk management, in addition to participating in regulatory/supervisory exercises, we regularly conduct several internal stress testing exercises to analyse the resilience of our business model in relation to climate change.</w:t>
      </w:r>
    </w:p>
    <w:p>
      <w:r>
        <w:t>In these exercises we also test the adequacy of our capital, by applying more severe stress tests within our reverse stress testing mix and dedicated climate risk stress tests.</w:t>
      </w:r>
    </w:p>
    <w:p>
      <w:r>
        <w:t>The views and concerns of our stakeholders regarding environmental, social and governance issues were gathered through different engagement activities that were carried out throughout the year.</w:t>
      </w:r>
    </w:p>
    <w:p>
      <w:r>
        <w:t>Furthermore, for our financing of and advisory services for major industrial and infrastructure including real estate projects, we have adopted the Equator Principles, a framework for determining, assessing and managing environmental and social impacts.</w:t>
      </w:r>
    </w:p>
    <w:p>
      <w:r>
        <w:t>When identifying, assessing and monitoring the sustainability-related impacts of our investment portfolios, we use our responsible investing methodology.</w:t>
      </w:r>
    </w:p>
    <w:p>
      <w:r>
        <w:t>More specifically for our impact on climate change, we leveraged our Scope 1, 2 and 3 GHG emission calculations as the primary source for the materiality assessment.</w:t>
      </w:r>
    </w:p>
    <w:p>
      <w:r>
        <w:t>These calculations show that the largest share of our emissions comes from our lending, investment and insurance underwriting activities, i.</w:t>
      </w:r>
    </w:p>
    <w:p>
      <w:r>
        <w:t>Our portfolio emissions accounted under Scope 3 Category 15 ‘Investments’.</w:t>
      </w:r>
    </w:p>
    <w:p>
      <w:r>
        <w:t>For KBC, the indirect emissions from our business activities i.</w:t>
      </w:r>
    </w:p>
    <w:p>
      <w:r>
        <w:t>Scope 3 Category 15 GHG emissions are the most material source of our emissions and hence our impact on climate change.</w:t>
      </w:r>
    </w:p>
    <w:p>
      <w:r>
        <w:t>With regard to biodiversity, we assessed our potential direct impact by mapping whether our own offices in our core countries are located in or near biodiversity-sensitive areas.</w:t>
      </w:r>
    </w:p>
    <w:p>
      <w:r>
        <w:t>Consequently, sustainability-related risks are not considered in isolation but are firmly embedded in all aspects and areas of KBC’s Risk Management Framework and the underlying processes.</w:t>
      </w:r>
    </w:p>
    <w:p>
      <w:r>
        <w:t>The financial materiality assessment of the environmental risks was predominantly based on our existing ERIM.</w:t>
      </w:r>
    </w:p>
    <w:p>
      <w:r>
        <w:t>This is our main internal process for identifying and assessing the impact of environmental risks on our value chain, which encompasses, estimating the risks for the financial and non-financial risk types.</w:t>
      </w:r>
    </w:p>
    <w:p>
      <w:r>
        <w:t>The materiality assessment in the ERIM is underpinned by several internal exercises, such as monitoring of the alignment of our corporate industrial loan portfolio with decarbonisation pathways using the PACTA tool, climate-related sector and asset-based portfolio reporting and the sectoral deep dives on sectors vulnerable to transition risk via our White Papers.</w:t>
      </w:r>
    </w:p>
    <w:p>
      <w:r>
        <w:t>These analyses also provide further insight into the assets and business activities which could be vulnerable to transition risks i.</w:t>
      </w:r>
    </w:p>
    <w:p>
      <w:r>
        <w:t>Assets and business activities which are incompatible with or need significant efforts to be compatible with a transition to a climate-neutral economy.</w:t>
      </w:r>
    </w:p>
    <w:p>
      <w:r>
        <w:t>In the yearly budgeting round, all countries also need to consider sustainability opportunities and develop a plan to capitalise on these opportunities.</w:t>
      </w:r>
    </w:p>
    <w:p>
      <w:r>
        <w:t>In order to be environmentally sustainable and thus taxonomy aligned, the activity must, be a relevant activity, i.</w:t>
      </w:r>
    </w:p>
    <w:p>
      <w:r>
        <w:t>The activity is on the list of activities which are considered as most relevant for achieving the environmental goals defined by Europe.</w:t>
      </w:r>
    </w:p>
    <w:p>
      <w:r>
        <w:t>Six environmental objectives are laid out in the Taxonomy Regulation, Climate change mitigation .</w:t>
      </w:r>
    </w:p>
    <w:p>
      <w:r>
        <w:t>Various working groups, with representatives from our core countries, address different themes, such as various forms of lending contributing to sustainability objectives and non-life insurance aimed at promoting climate change adaptation.</w:t>
      </w:r>
    </w:p>
    <w:p>
      <w:r>
        <w:t>Individual purpose-driven credit applications are also thoroughly screened to verify compliance with the technical criteria and social minimum safeguards.</w:t>
      </w:r>
    </w:p>
    <w:p>
      <w:r>
        <w:t>In addition, we are exploring possibilities on how to incentivise policyholders to take preventive measures against climate-related perils.</w:t>
      </w:r>
    </w:p>
    <w:p>
      <w:r>
        <w:t>The important pillars, related to transition planning, which are currently embedded into our overall sustainability governance and strategy are, Governance.</w:t>
      </w:r>
    </w:p>
    <w:p>
      <w:r>
        <w:t>As these decision bodies oversee the entire business model, value creation strategy, and financial planning of KBC, there is an intrinsic strong connection between these elements and our climate strategy.</w:t>
      </w:r>
    </w:p>
    <w:p>
      <w:r>
        <w:t>A dedicated Sustainable Finance Programme is in place to coordinate the implementation of the overall sustainability strategy.</w:t>
      </w:r>
    </w:p>
    <w:p>
      <w:r>
        <w:t>In order to manage the challenges linked to climate-related data collection and reporting, we installed a dedicated Data and Metrics Steering Programme.</w:t>
      </w:r>
    </w:p>
    <w:p>
      <w:r>
        <w:t>This governance framework including its own Steering Committee ensures that sustainability is embedded into the organisation.</w:t>
      </w:r>
    </w:p>
    <w:p>
      <w:r>
        <w:t>Our current climate transition planning approach includes climate-related targets on our own operations’ emissions as well as on some of the most material emissions that are associated with our financing or investment activities, some of which are compatible with pathways that limit global warming to 1.</w:t>
      </w:r>
    </w:p>
    <w:p>
      <w:r>
        <w:t>Our climate strategy focuses on managing both our direct and indirect carbon footprints.</w:t>
      </w:r>
    </w:p>
    <w:p>
      <w:r>
        <w:t>We report every six months to the ISB, ExCo and Board on the implementation of our climate transition strategy, via a dedicated Sustainability Dashboard, which includes, among other things, the progress on our key climate targets.</w:t>
      </w:r>
    </w:p>
    <w:p>
      <w:r>
        <w:t>Based on our latest climate target progress measurements, we conclude to be overall well on track in meeting our targets and will continue to proceed with the implementation of key actions.</w:t>
      </w:r>
    </w:p>
    <w:p>
      <w:r>
        <w:t>We engage with our clients to support their transition, develop sustainable products and monitor decarbonisation progress.</w:t>
      </w:r>
    </w:p>
    <w:p>
      <w:r>
        <w:t>The outcome of this continuous risk and opportunity management is closely linked with our climate strategy and target follow-up and is also taken into account in our financial planning cycle, touching directly on our portfolio mix, expenses and capital adequacy assessment.</w:t>
      </w:r>
    </w:p>
    <w:p>
      <w:r>
        <w:t>This set of scenarios reflects various models, time perspectives, climate temperature objectives including 1.</w:t>
      </w:r>
    </w:p>
    <w:p>
      <w:r>
        <w:t>Lastly, the implementation of our current climate transition planning approach includes engagement with various stakeholders including policymakers and clients.</w:t>
      </w:r>
    </w:p>
    <w:p>
      <w:r>
        <w:t>To our knowledge, there are no locked-in emissions detected for own operations which jeopardise the achievement of our GHG emissions reduction targets.</w:t>
      </w:r>
    </w:p>
    <w:p>
      <w:r>
        <w:t>Our climate change lending targets form an important pillar in supporting decarbonisation in some of the highest carbon-intensive activities in our loan portfolio.</w:t>
      </w:r>
    </w:p>
    <w:p>
      <w:r>
        <w:t>Climate change, Impact, risk and opportunity management 2.</w:t>
      </w:r>
    </w:p>
    <w:p>
      <w:r>
        <w:t>This framework defines the scope of our policies, summarises the governance on how policies are determined and implemented, and describes our actual policies, based on a combination of exclusion of certain companies, sectors or activities and the application of certain conditions.</w:t>
      </w:r>
    </w:p>
    <w:p>
      <w:r>
        <w:t>It relates to all material impacts, risks and opportunities that were identified for KBC, and as such, we will refer to this Framework available on when disclosing on different matters in this Sustainability Statement.</w:t>
      </w:r>
    </w:p>
    <w:p>
      <w:r>
        <w:t>A strict due diligence process is in place to monitor compliance with these policies, including the possibility of requesting advice from sustainability experts on sustainability-related matters for individual cases.</w:t>
      </w:r>
    </w:p>
    <w:p>
      <w:r>
        <w:t>The framework is applicable worldwide to all of our core business activities lending, insurance, advisory services and investment advice as well as supporting activities own investments and procurement, and covers all sectors and activities deemed potentially controversial and for which we have developed policies human rights, energy, steel, cement and aluminium, mining, defence, biodiversity, gambling, tobacco, animal-related activities, and prostitution.</w:t>
      </w:r>
    </w:p>
    <w:p>
      <w:r>
        <w:t>We consider the interests of key stakeholders, as all policies in the Sustainability Framework are challenged by the ISB, and some are also discussed with our ESB, which represents the interests of key external stakeholders.</w:t>
      </w:r>
    </w:p>
    <w:p>
      <w:r>
        <w:t>Environmental responsibility is one of the focus areas of our sustainability strategy, meaning that we are committed to managing the direct and indirect environmental impact of our business in a responsible way.</w:t>
      </w:r>
    </w:p>
    <w:p>
      <w:r>
        <w:t>A dedicated sustainability team at group level is responsible for challenging the internal business stakeholders on their sustainable product offering.</w:t>
      </w:r>
    </w:p>
    <w:p>
      <w:r>
        <w:t>The CCCA was adopted by some signatories to the UNEP FI Principles for Responsible Banking as an additional climate commitment when it was launched in September 2019.</w:t>
      </w:r>
    </w:p>
    <w:p>
      <w:r>
        <w:t>Our Energy Policy aims to exclude or restrict the use of fossil energy and to support the development of renewable energy.</w:t>
      </w:r>
    </w:p>
    <w:p>
      <w:r>
        <w:t>These targets refer to the emissions of a particular fixed base year.</w:t>
      </w:r>
    </w:p>
    <w:p>
      <w:r>
        <w:t>More specifically for the financed emissions, this policy is applicable for each sector/ domain for which we have set external emission targets.</w:t>
      </w:r>
    </w:p>
    <w:p>
      <w:r>
        <w:t>Reference to third-party agreements This policy is based on the Greenhouse Gas Protocol Areas addressed, Climate change mitigation Yes This policy addresses the restatement of our external climate targets emissions reduction Climate change adaptation No Energy efficiency No Renewable energy deployment No Other climate change-related areas No 172 Annual Report KBC Group 2024 Investment Policy This policy aims to determine strict ethical restrictions with regard to investments.</w:t>
      </w:r>
    </w:p>
    <w:p>
      <w:r>
        <w:t>Compliance with this policy is fully embedded in the investment processes of KBC Asset Management.</w:t>
      </w:r>
    </w:p>
    <w:p>
      <w:r>
        <w:t>Concrete portfolio targets are set with regard to ESG risk scores, GHG emissions, Green, Social &amp; Sustainability bonds, and sustainable investments.</w:t>
      </w:r>
    </w:p>
    <w:p>
      <w:r>
        <w:t>The KBC Asset Management Financial Risk Committee is accountable with regard to the implementation.</w:t>
      </w:r>
    </w:p>
    <w:p>
      <w:r>
        <w:t>However, all staff involved are responsible for its implementation, both within the countries and at the level of relevant group departments Reference to third-party agreements For all our Responsible Investing funds, we apply the standards of the Towards Sustainability Labelling Agency, which is a not-for-profit association incorporated under Belgian law.</w:t>
      </w:r>
    </w:p>
    <w:p>
      <w:r>
        <w:t>The label is awarded to financial products that are compliant with the Agency’s Quality Standard for sustainable and responsible financial products, ensuring that all labelled products contain a minimum of sustainability elements.</w:t>
      </w:r>
    </w:p>
    <w:p>
      <w:r>
        <w:t>The negative screening entails exclusion of, issuers that do not align with the exclusion policies from the responsible investment universe by the sub-fund or issuers that are manually excluded based on the advice of the Responsible Investing Advisory Board.</w:t>
      </w:r>
    </w:p>
    <w:p>
      <w:r>
        <w:t>The KBC Asset Management Financial Risk Committee is accountable with regard to the implementation.</w:t>
      </w:r>
    </w:p>
    <w:p>
      <w:r>
        <w:t>Within the framework of our Sustainable Finance Programme, we are working on our environmental impact while mitigating environmental risks.</w:t>
      </w:r>
    </w:p>
    <w:p>
      <w:r>
        <w:t>At the start of the programme in 2019, its focus was solely on climate.</w:t>
      </w:r>
    </w:p>
    <w:p>
      <w:r>
        <w:t>Managing our own footprint Each year, the GHG emissions from our own operations are measured and actions are taken, such as, implementing an ISO 14001 environmental management system in all core countries to manage and reduce direct environmental impact.</w:t>
      </w:r>
    </w:p>
    <w:p>
      <w:r>
        <w:t>Yearly calculation of portfolio emissions and steering of the local implementation of loan portfolio decarbonisation Scope Key action with regard to the yearly calculation of portfolio emissions is implemented across all lending activities including operational and financial leasing within KBC.</w:t>
      </w:r>
    </w:p>
    <w:p>
      <w:r>
        <w:t>In deciding the White Paper scopes, the ISB takes into account the materiality of evolutions which take place in sectors or environmental domains as well as the materiality of the exposures to the sectors associated with those evolutions Climate change mitigation actions by decarbonisation lever Each White Paper addresses the need to quickly follow-up on decarbonisation evolutions in high-carbon-intensive activities and industries.</w:t>
      </w:r>
    </w:p>
    <w:p>
      <w:r>
        <w:t>One main decarbonisation lever is addressed here, i.</w:t>
      </w:r>
    </w:p>
    <w:p>
      <w:r>
        <w:t>To support the transition of the targeted sectors/activities to a more environmentally and climate-friendly state.</w:t>
      </w:r>
    </w:p>
    <w:p>
      <w:r>
        <w:t>This is done by either stopping the financing of environmentally polluting activities or by supporting the transition of sectors to a lowcarbon state Ability to implement Our ability to implement the key actions mainly depends on a policy environment that fully accommodates societal decarbonisation in line with the Paris Agreement goals this includes, among other things, timely government action to stimulate sustainable technologies as well as more sustainable mobility, living and lifestyle Green bond issuance We issue Green Bonds whose proceeds are used to finance projects that have a positive impact on the environment by avoiding or reducing the emissions of greenhouse gases.</w:t>
      </w:r>
    </w:p>
    <w:p>
      <w:r>
        <w:t>More information on our Green Bond Framework is available at KBC plans to issue Green bonds in the future, with a view to contributing to a more sustainable future.</w:t>
      </w:r>
    </w:p>
    <w:p>
      <w:r>
        <w:t>We are making continuous efforts to further integrate ESG risks into our RMF and underlying risk management processes.</w:t>
      </w:r>
    </w:p>
    <w:p>
      <w:r>
        <w:t>When considering climate and other ESG risks in our risk appetite process, we do not only focus on short-term impacts, but also take extended time horizons into consideration.</w:t>
      </w:r>
    </w:p>
    <w:p>
      <w:r>
        <w:t>KBC’s risk appetite is supported by our groupwide policies and sustainability targets see the different sections on policies and targets under each topic.</w:t>
      </w:r>
    </w:p>
    <w:p>
      <w:r>
        <w:t>Specifically for climate risk, additional to the above, we highlight the following, In the ERIM, a dedicated Impact Map is in place for Climate Change, considering several physical and transition risk drivers.</w:t>
      </w:r>
    </w:p>
    <w:p>
      <w:r>
        <w:t>To assess our climate-related transition risks, we leverage industry practices such as PACTA to measure the alignment of our corporate industrial loan portfolio with the Paris Agreement climate goals, TRUCOST for our Asset Management and the insurer’s investment portfolio and PCAF to estimate the greenhouse gas emissions of our loan, investment and insurance portfolios.</w:t>
      </w:r>
    </w:p>
    <w:p>
      <w:r>
        <w:t>These provide further insights into the impact of climate change on our business model, as well as the impact of our lending, investment and insurance activities on the environment.</w:t>
      </w:r>
    </w:p>
    <w:p>
      <w:r>
        <w:t>In support of our risk appetite process and as part of our internal monitoring, we introduced a set of climate-related KRIs Key Risk Indicator.</w:t>
      </w:r>
    </w:p>
    <w:p>
      <w:r>
        <w:t>They are integrated into a Climate Risk Dashboard which is presented to the Board every six months as part of Integrated Risk Reporting.</w:t>
      </w:r>
    </w:p>
    <w:p>
      <w:r>
        <w:t>As the NAPP covers all risk types, the NAPP standard is positioned as a key building block of the Risk Management Framework and applies to all material subsidiaries which provide financial services.</w:t>
      </w:r>
    </w:p>
    <w:p>
      <w:r>
        <w:t>Sustainability and climate-related policies are explicitly taken into account when deciding on new products or services through the NAPP, Particular attention is paid to the adequate ‘green’ labelling of newly developed products, aligned with regulatory frameworks such as the EU Taxonomy and the ICMA Green Bond framework.</w:t>
      </w:r>
    </w:p>
    <w:p>
      <w:r>
        <w:t>We have set various climate-related targets and closely monitor our progress.</w:t>
      </w:r>
    </w:p>
    <w:p>
      <w:r>
        <w:t>The targets and corresponding emission intensity metrics for our loan portfolio also serve as a tool to monitor climate-related transition risk.</w:t>
      </w:r>
    </w:p>
    <w:p>
      <w:r>
        <w:t>In this section, our climate-related targets are described separately for our own carbon footprint, our loan portfolio and our investment portfolios.</w:t>
      </w:r>
    </w:p>
    <w:p>
      <w:r>
        <w:t>Scope 3 Category 15 emissions include the indirect emissions related to our financing, investing and insurance activities.</w:t>
      </w:r>
    </w:p>
    <w:p>
      <w:r>
        <w:t>The targets for our own carbon footprint underpin this objective.</w:t>
      </w:r>
    </w:p>
    <w:p>
      <w:r>
        <w:t>Climate-related targets related to our own carbon footprint are set in collaboration with stakeholders in our core countries.</w:t>
      </w:r>
    </w:p>
    <w:p>
      <w:r>
        <w:t>All of our environmental targets have been reviewed and approved by the ISB and ExCo and endorsed by the Board.</w:t>
      </w:r>
    </w:p>
    <w:p>
      <w:r>
        <w:t>CO2e emissions from own operations 2015 tCO2e Yes % change 68% 80% Yes Renewable electricity in % of purchased electricity 100% 100% 2030 100% Yes The GHG Protocol Corporate Standard serves as the basis for determining the scope of the GHG emissions reduction targets for our own carbon footprint.</w:t>
      </w:r>
    </w:p>
    <w:p>
      <w:r>
        <w:t>Our GHG emissions inventory as well as our GHG reduction targets cover the following greenhouse gases, CO2, CH4, N2O, PFC’s, HFC’s, SF6 and NF3.</w:t>
      </w:r>
    </w:p>
    <w:p>
      <w:r>
        <w:t>The targets for our own carbon footprint cover all entities included in our financial consolidation to the extent that they operate within our bankinsurance business context, whereas our GHG inventory also includes entities that are not fully consolidated and entities with activities that are not related to our bank-insurance business context.</w:t>
      </w:r>
    </w:p>
    <w:p>
      <w:r>
        <w:t>In 2023, we put a Recalculation Policy in place for both our own carbon footprint as well as for our loan portfolio climate targets.</w:t>
      </w:r>
    </w:p>
    <w:p>
      <w:r>
        <w:t>In general, we aim for continuity in the baselines we use to assess the direct and indirect greenhouse gas emissions targets.</w:t>
      </w:r>
    </w:p>
    <w:p>
      <w:r>
        <w:t>The GHG emissions reduction target for our own carbon footprint is set using a bottom-up approach gathering feedback from the core countries on their current decarbonisation approach and their expectations.</w:t>
      </w:r>
    </w:p>
    <w:p>
      <w:r>
        <w:t>This ambition is aligned with the CDP technical note on science-based targets, which states that GHG emissions reduction targets need to meet a minimum annual linear reduction rate of 4.</w:t>
      </w:r>
    </w:p>
    <w:p>
      <w:r>
        <w:t>Our objective to reach 100% renewable electricity consumption in own operations by 2030 underpins our GHG emissions reduction targets.</w:t>
      </w:r>
    </w:p>
    <w:p>
      <w:r>
        <w:t>The efforts to make our buildings more energy efficient and to electrify our company-owned fleet are starting to bear fruit, but we still have some way to go to reduce emissions from commuter travel.</w:t>
      </w:r>
    </w:p>
    <w:p>
      <w:r>
        <w:t>Under our Sustainability Policy Framework, we have set up sectoral policies detailing our stance on activities with a harmful impact on the environment, human rights and other sustainability-related issues.</w:t>
      </w:r>
    </w:p>
    <w:p>
      <w:r>
        <w:t>The objectives and criteria formulated in our policies underpin the achievement of our GHG emissions reduction targets, as described in the table below, specifically the ban on financing certain fossil fuel activities and our stringent lending criteria for steel, cement and aluminium producers.</w:t>
      </w:r>
    </w:p>
    <w:p>
      <w:r>
        <w:t>These policies are applicable to all of our business units, consistent with the scope of our climate targets and our financial accounting consolidation.</w:t>
      </w:r>
    </w:p>
    <w:p>
      <w:r>
        <w:t>All of our environmental targets including non-GHG emissions reduction targets have been reviewed and approved by the ISB, ExCo and endorsed by the Board.</w:t>
      </w:r>
    </w:p>
    <w:p>
      <w:r>
        <w:t>These projections include estimates on the growth of our portfolio and consider the local regulatory landscape that was in place at the time we set our targets.</w:t>
      </w:r>
    </w:p>
    <w:p>
      <w:r>
        <w:t>Instead, we use sectorspecific carbon intensity metrics since we believe this is the most effective way to guide and track the decarbonisation efforts in our diverse loan and lease portfolios.</w:t>
      </w:r>
    </w:p>
    <w:p>
      <w:r>
        <w:t>The GHG emissions reduction targets for our lending portfolios cover the Scope 1 and, if applicable, the Scope 2 GHG emissions of the borrowers as indicated in the table.</w:t>
      </w:r>
    </w:p>
    <w:p>
      <w:r>
        <w:t>Consistency of our targets with our inventory boundaries is ensured by the fact that we apply standard calculation methodologies as provided by the PCAF global standard and underlying data sources client data, PACTA, PCAF emission factors.</w:t>
      </w:r>
    </w:p>
    <w:p>
      <w:r>
        <w:t>Calculating and setting climate-relevant targets requires a very diverse set of tools.</w:t>
      </w:r>
    </w:p>
    <w:p>
      <w:r>
        <w:t>This section aims to provide transparency about our target-setting approach for our lending portfolio and outlines their main conceptual building blocks.</w:t>
      </w:r>
    </w:p>
    <w:p>
      <w:r>
        <w:t>These require the application of widely accepted sciencebased decarbonisation scenarios in line with the temperature goals of the Paris Agreement.</w:t>
      </w:r>
    </w:p>
    <w:p>
      <w:r>
        <w:t>For the agricultural sector, where we selected a financial carbon intensity metric, we used the rate-of-reduction approach, which consists in applying the sectoral emission reduction rates relevant to the sector.</w:t>
      </w:r>
    </w:p>
    <w:p>
      <w:r>
        <w:t>Non-scenario-based GHG emissions reduction targets We have also defined ‘partially science-based’ targets for our loan portfolio, exclusively monitored through financial carbon intensity metrics.</w:t>
      </w:r>
    </w:p>
    <w:p>
      <w:r>
        <w:t>Other targets We have set two specific environmental targets related to our energy loan portfolio, A phase-out target for direct thermal coal-related activities thus including electricity generation, district heating and mining, which was set in 2016 and achieved in 2023.</w:t>
      </w:r>
    </w:p>
    <w:p>
      <w:r>
        <w:t>Furthermore, following the UNEP FI guidelines on climate target setting, we will review our targets at least every five years.</w:t>
      </w:r>
    </w:p>
    <w:p>
      <w:r>
        <w:t>Below we summarise our performance against the disclosed targets for the aforementioned sectors and product lines, Energy, the GHG emission intensity of our electricity portfolio decreased by 56% since base year 2021.</w:t>
      </w:r>
    </w:p>
    <w:p>
      <w:r>
        <w:t>This positive evolution in our energy-related climate targets should be considered and evaluated with care.</w:t>
      </w:r>
    </w:p>
    <w:p>
      <w:r>
        <w:t>This was driven by both a large increase in renewable energy loans and a smaller decrease in non-renewable loans in 2024.</w:t>
      </w:r>
    </w:p>
    <w:p>
      <w:r>
        <w:t>This decrease is a combined result of our investments in better data quality in turn leading to improved accuracy of our calculations as well as the fact that one of the largest clients in our cement portfolio showed an improved emission intensity compared to last year.</w:t>
      </w:r>
    </w:p>
    <w:p>
      <w:r>
        <w:t>This improvement is an embodiment of this company’s public commitment to decarbonise its cement-producing activities, which has set out a decarbonisation strategy to support its target implementation.</w:t>
      </w:r>
    </w:p>
    <w:p>
      <w:r>
        <w:t>Steel, our steel portfolio progress assessment showed an increased emission intensity compared to the 2021 baseline.</w:t>
      </w:r>
    </w:p>
    <w:p>
      <w:r>
        <w:t>While this commitment is reassuring, it is important to note that the targets we expressed in our 2022 Climate Report were aligned with the climate plans of the companies within the scope of 188 Annual Report KBC Group 2024 our target.</w:t>
      </w:r>
    </w:p>
    <w:p>
      <w:r>
        <w:t>We will continue to engage with our clients to support sustainability-linked investments as they navigate their significant transition challenges.</w:t>
      </w:r>
    </w:p>
    <w:p>
      <w:r>
        <w:t>While this evolution was entirely due to an improvement in the quality of the underlying client data used, it still solidifies the limited indirect climate impact of this portfolio and the dedication to staying well below the global emission intensity level of the sector.</w:t>
      </w:r>
    </w:p>
    <w:p>
      <w:r>
        <w:t>The main objective of climate-related targets in this context is to redirect more client money towards responsible investing.</w:t>
      </w:r>
    </w:p>
    <w:p>
      <w:r>
        <w:t>This supports our commitment to align our investing activities with the Paris Agreement, as outlined in our Environmental Policy.</w:t>
      </w:r>
    </w:p>
    <w:p>
      <w:r>
        <w:t>In this regard, we note that the RI funds focus on sustainability objectives beyond climate change mitigation.</w:t>
      </w:r>
    </w:p>
    <w:p>
      <w:r>
        <w:t>For some funds, however, it is not the main sustainability-related focus.</w:t>
      </w:r>
    </w:p>
    <w:p>
      <w:r>
        <w:t>With regard to the target for the carbon intensity of corporate investees in the RI funds, we continuously monitor this as one of the ESG targets at portfolio level.</w:t>
      </w:r>
    </w:p>
    <w:p>
      <w:r>
        <w:t>This further underpins our climate-related ambitions as outlined in our Environmental Policy.</w:t>
      </w:r>
    </w:p>
    <w:p>
      <w:r>
        <w:t>Here too, the large number of investments as well as the restriction to investees’ Scope 1 and Scope 2 emissions ensure that our baseline value remains representative.</w:t>
      </w:r>
    </w:p>
    <w:p>
      <w:r>
        <w:t>As with the carbon intensity targets for our asset management activities, the GHG intensity is already well below the 2030 target.</w:t>
      </w:r>
    </w:p>
    <w:p>
      <w:r>
        <w:t>In addition to the indirect emissions from our lending business, Scope 3 Category 15 also includes indirect emissions stemming from our asset management activities, the sovereign bond portfolio of KBC Bank, the own investments of KBC Insurance excluding unit-linked investments and our insurance underwriting activities.</w:t>
      </w:r>
    </w:p>
    <w:p>
      <w:r>
        <w:t>We use supplier-specific emission factors where available, and standard emission factors from the IEA, Reliable Disclosure and the Association of Issuing Bodies, Department for Energy Security &amp; Net Zero and KBC-specific emission factors as a fall-back option.</w:t>
      </w:r>
    </w:p>
    <w:p>
      <w:r>
        <w:t>The approach for our lending-related emissions differs from the approach for emissions linked to our investing activities.</w:t>
      </w:r>
    </w:p>
    <w:p>
      <w:r>
        <w:t>To this end, we performed strategic assessments of sectors with the largest climate impact because of the nature of the activities carbon-intensive industrial sectors and took into account the size of our exposure to that sector.</w:t>
      </w:r>
    </w:p>
    <w:p>
      <w:r>
        <w:t>The quality of the financed emission calculation is reflected in a dedicated PCAF data quality score ranging from ‘1’ – highest – to ‘5’ – lowest.</w:t>
      </w:r>
    </w:p>
    <w:p>
      <w:r>
        <w:t>In line with the PCAF Global Standard, our financed emission calculations are based on actual financing i.</w:t>
      </w:r>
    </w:p>
    <w:p>
      <w:r>
        <w:t>Outstanding loan exposure in order to reflect the actual climate impact of our portfolio.</w:t>
      </w:r>
    </w:p>
    <w:p>
      <w:r>
        <w:t>This approach is followed in cases where either the numerator of the emission intensity metric has too high a level of uncertainty or where the metric is related to committed loan exposure and not to actual financing.</w:t>
      </w:r>
    </w:p>
    <w:p>
      <w:r>
        <w:t>Non-target sectors For the parts of our loan portfolio that are not covered by GHG emissions reduction targets, we apply a high-level, less detailed calculation methodology.</w:t>
      </w:r>
    </w:p>
    <w:p>
      <w:r>
        <w:t>Furthermore, in our endeavour to increase the data quality and granularity of our GHG emissions calculation, we are working closely with our clients to improve the systematic collection of their reported GHG emissions.</w:t>
      </w:r>
    </w:p>
    <w:p>
      <w:r>
        <w:t>This will allow us to improve our overall PCAF data quality score, as we would be transitioning from sub-sector specific emission factors to asset/ counterparty reported GHG emissions i.</w:t>
      </w:r>
    </w:p>
    <w:p>
      <w:r>
        <w:t>PCAF data quality score 1 or 2.</w:t>
      </w:r>
    </w:p>
    <w:p>
      <w:r>
        <w:t>Lastly, for the part of our portfolio not covered by our GHG emissions reduction targets, we apply PCAF’s lowest data quality score for emission factors score 5, which could lead to an overestimation of our financed emissions.</w:t>
      </w:r>
    </w:p>
    <w:p>
      <w:r>
        <w:t>The continuous improvement of our data quality scores may affect the outcomes of the calculations and artificially impact our GHG emissions performance, without being imputable to an improvement of our portfolio performance.</w:t>
      </w:r>
    </w:p>
    <w:p>
      <w:r>
        <w:t>We are analysing and considering our options to enhance our data gathering processes and improve the collection of GHG emissions and revenue data.</w:t>
      </w:r>
    </w:p>
    <w:p>
      <w:r>
        <w:t>Emission reductions or removals tonnes of CO2e Amount of GHG emission reductions or removals from climate change mitigation projects outside our Share from reduction projects % 90% Share from removal projects % 10% Share of removal projects from biogenic sinks % 100% Share of removal projects from technological sinks % 0% Share from Verra Carbon Standard % 100% Share issued from projects in the EU % 0% Share that qualifies as a corresponding adjustment under Article 6 of the Paris Agreement % Total amount of carbon credits outside value chain that are verified against recognised quality Since 2021, we have aimed to achieve net climate neutrality with respect to our own operations.</w:t>
      </w:r>
    </w:p>
    <w:p>
      <w:r>
        <w:t>As described in ‘Own carbon footprint targets 2.</w:t>
      </w:r>
    </w:p>
    <w:p>
      <w:r>
        <w:t>Each year the emissions from our own operations i.</w:t>
      </w:r>
    </w:p>
    <w:p>
      <w:r>
        <w:t>Remaining after actions to reduce emissions are offset, hence achieving net carbon neutrality.</w:t>
      </w:r>
    </w:p>
    <w:p>
      <w:r>
        <w:t>CDP is a credible methodological standard setter in environmental reporting, known for its collaborations with reputable organisations, alignment with global standards, and commitment to data quality and transparency.</w:t>
      </w:r>
    </w:p>
    <w:p>
      <w:r>
        <w:t>To reflect the associated transition under each pathway, we establish price increase assumptions of 77% and 201% by 2030 for the WB2D and NZ2050 internal carbon price levels, respectively.</w:t>
      </w:r>
    </w:p>
    <w:p>
      <w:r>
        <w:t>As a result, our internal carbon price is currently only applied to our Scope 3 Category 15 emissions.</w:t>
      </w:r>
    </w:p>
    <w:p>
      <w:r>
        <w:t>Mining Policy While the mining industry provides essential resources to most sectors of the economy, at the same time mining activities can have a negative impact on the environment and on society in terms of water use and water quality, community relations, health and safety, land use, ecosystems, waste and bribery and corruption.</w:t>
      </w:r>
    </w:p>
    <w:p>
      <w:r>
        <w:t>As a result, in addition to the initial focus on climate change they include other environmental objectives such as water for sectors where water is a material topic.</w:t>
      </w:r>
    </w:p>
    <w:p>
      <w:r>
        <w:t>However, we do track the effectiveness of our policies and actions via a strict due diligence process to monitor compliance of our lending, insurance and advisory service operations with our sustainability framework.</w:t>
      </w:r>
    </w:p>
    <w:p>
      <w:r>
        <w:t>The assessment considers both transition and physical risks that could potentially stem from biodiversity loss and ecosystem damage.</w:t>
      </w:r>
    </w:p>
    <w:p>
      <w:r>
        <w:t>To identify and assess dependencies on biodiversity and ecosystems for our own operations and in our value chain, we focused on the physical risk assessment, whereas transition risks were considered to identify and assess impacts on biodiversity and ecosystems.</w:t>
      </w:r>
    </w:p>
    <w:p>
      <w:r>
        <w:t>Biodiversity and ecosystems, Impact, risk and opportunity management 2.</w:t>
      </w:r>
    </w:p>
    <w:p>
      <w:r>
        <w:t>All policies aim to focus on actions to mitigate nature and biodiversity loss.</w:t>
      </w:r>
    </w:p>
    <w:p>
      <w:r>
        <w:t>As biodiversity opportunities are not material for KBC following the results of our materiality assessment, they are not covered in this document.</w:t>
      </w:r>
    </w:p>
    <w:p>
      <w:r>
        <w:t>These certification schemes often include specific measures on traceability of these commodities Addresses production, sourcing or consumption from ecosystems that are managed to maintain or enhance conditions for biodiversity, as demonstrated by regular monitoring and reporting of biodiversity status and gains or losses The described policy addresses this in the sense that production of forest commodities is covered, as well as activities in protected areas Social consequences addressed Considering the production and trade of forest commodities, KBC requires clients in scope to be certified under an internationally recognised certification scheme.</w:t>
      </w:r>
    </w:p>
    <w:p>
      <w:r>
        <w:t>Apart from sustainable production from an environmental perspective, these certificates can also include social safeguards Mining Policy Our Mining Policy see 2.</w:t>
      </w:r>
    </w:p>
    <w:p>
      <w:r>
        <w:t>This policy directly addresses the human rights impacts of mining activities as well as the social consequences of the impacts of mining on the environment.</w:t>
      </w:r>
    </w:p>
    <w:p>
      <w:r>
        <w:t>In addition, all companies with activities that have a negative impact on biodiversity and do not take sufficient measures to reduce their impact are excluded.</w:t>
      </w:r>
    </w:p>
    <w:p>
      <w:r>
        <w:t>We dedicated a White Paper to risks and opportunities related to biodiversity loss in particular, deforestation.</w:t>
      </w:r>
    </w:p>
    <w:p>
      <w:r>
        <w:t>Additional biodiversity screening in the Exclusion Policy for Responsible Investing funds As part of the Exclusion Policy for Responsible Investing funds, we added additional screening concerning fishing, palm oil and soybean farming, beef cattle ranching and cocoa and sugarcane farming.</w:t>
      </w:r>
    </w:p>
    <w:p>
      <w:r>
        <w:t>It refers to the KBC PEARL+ values and to a strong corporate culture that encourages responsible behaviour to build trust and strike a long-term, sustainable balance between the interests of all our stakeholders, our clients, our employees, our shareholders and society as a whole.</w:t>
      </w:r>
    </w:p>
    <w:p>
      <w:r>
        <w:t>We also foster and promote an entrepreneurial mindset, lifelong learning, diversity, equal treatment and respect.</w:t>
      </w:r>
    </w:p>
    <w:p>
      <w:r>
        <w:t>Regular training and awareness sessions are organised by the Compliance department.</w:t>
      </w:r>
    </w:p>
    <w:p>
      <w:r>
        <w:t>Most senior level accountable The Board ensures that we have processes in place for monitoring our compliance with laws and other regulations, as well as for the application of related internal guidelines.</w:t>
      </w:r>
    </w:p>
    <w:p>
      <w:r>
        <w:t>Our goal is to ensure that all employees and other stakeholders are and feel protected when raising concerns.</w:t>
      </w:r>
    </w:p>
    <w:p>
      <w:r>
        <w:t>By fostering an environment where whistleblowing is encouraged and safeguarded, we aim to uphold our core values and promote a culture of responsible behaviour throughout KBC.</w:t>
      </w:r>
    </w:p>
    <w:p>
      <w:r>
        <w:t>The Compliance department is the central point of contact and reports the outcome of investigations to the ExCo, and the general status of implementation to the RCC.</w:t>
      </w:r>
    </w:p>
    <w:p>
      <w:r>
        <w:t>The Compliance department organises regular training and awareness sessions for our employees.</w:t>
      </w:r>
    </w:p>
    <w:p>
      <w:r>
        <w:t>The policy stipulates that remuneration schemes including the conditions for awarding and paying remuneration are genderneutral in order to guarantee equal pay for equal work of equal value.</w:t>
      </w:r>
    </w:p>
    <w:p>
      <w:r>
        <w:t>The Board and the RC is accountable for the implementation of the policy.</w:t>
      </w:r>
    </w:p>
    <w:p>
      <w:r>
        <w:t>Reference to third-party agreements The policy is implemented with respect for the applicable legislation and regulation, the Corporate Governance Code on a comply or explain basis and the possible remarks of the supervisor.</w:t>
      </w:r>
    </w:p>
    <w:p>
      <w:r>
        <w:t>Remuneration Policy The remuneration for all our staff takes into account market practices, competitiveness, risks, long-term objectives of the company and its stakeholders and continuously changing regulations.</w:t>
      </w:r>
    </w:p>
    <w:p>
      <w:r>
        <w:t>General remuneration guidelines, the guidelines require all remuneration schemes to comply with the Remuneration Policy, be aligned with local practices and legislation, and be compatible with stakeholders’ interests and the Corporate Sustainability strategy.</w:t>
      </w:r>
    </w:p>
    <w:p>
      <w:r>
        <w:t>Specific guidelines for Key Identified Staff, Key Identified Staff are those who could have a material impact on the company’s risk profile, with specific requirements for non-cash instruments, deferral, and performance-based remuneration to promote sound risk behaviour.</w:t>
      </w:r>
    </w:p>
    <w:p>
      <w:r>
        <w:t>Consideration key stakeholders The policy complies with all legislation and regulatory requirements.</w:t>
      </w:r>
    </w:p>
    <w:p>
      <w:r>
        <w:t>Diversity and Inclusion Policy Scope The policy is applicable to both management and employees.</w:t>
      </w:r>
    </w:p>
    <w:p>
      <w:r>
        <w:t>All types of diversity are part of the policy but there is a specific focus on gender diversity and disability inclusion.</w:t>
      </w:r>
    </w:p>
    <w:p>
      <w:r>
        <w:t>We apply a top-down approach, Every manager is requested to commit to the diversity and inclusion principles/values Every employee must act in a responsible and respectful manner The diversity and inclusion agenda is part of the Corporate Culture Unit at Corporate HR.</w:t>
      </w:r>
    </w:p>
    <w:p>
      <w:r>
        <w:t>This function supports the ExCo on policy matters related to diversity, consolidates the reporting and promotes awareness throughout the organisation.</w:t>
      </w:r>
    </w:p>
    <w:p>
      <w:r>
        <w:t>We are aligned with the OECD Guidelines for Multinational Enterprises which set the standard for responsible business conduct and respect for human rights within our operations.</w:t>
      </w:r>
    </w:p>
    <w:p>
      <w:r>
        <w:t>Policy on Human Rights Scope All core stakeholders, being clients, suppliers and own employees of the group, through specific policies and human rights due diligence processes.</w:t>
      </w:r>
    </w:p>
    <w:p>
      <w:r>
        <w:t>We have a workplace accident prevention policy in place in all our core countries.</w:t>
      </w:r>
    </w:p>
    <w:p>
      <w:r>
        <w:t>We engage with our employees by conducting employee engagement surveys every six months, via regular social dialogue with our employees and through formal employee representation groups on issues regarding reward, employment conditions, reorganisations and well-being in accordance with local practices and laws of each country we are operating in.</w:t>
      </w:r>
    </w:p>
    <w:p>
      <w:r>
        <w:t>The CEO and HR managers have the operational responsibility to ensure that this engagement survey happens, and that the results of the employee engagement are taken into account in defining the company’s organisation.</w:t>
      </w:r>
    </w:p>
    <w:p>
      <w:r>
        <w:t>We have Employee Resource Groups ERGs such as Diversity Rocks where the focus lies on diversity and inclusion.</w:t>
      </w:r>
    </w:p>
    <w:p>
      <w:r>
        <w:t>Several policies, guidelines and actions are put in place to support this approach, Code of Conduct for employees and the responsible behaviour compass, including awareness sessions and mandatory trainings.</w:t>
      </w:r>
    </w:p>
    <w:p>
      <w:r>
        <w:t>Diversity and Inclusion Policy containing the prohibition of discrimination and a zero tolerance on flagrant disrespectful behaviour towards colleagues.</w:t>
      </w:r>
    </w:p>
    <w:p>
      <w:r>
        <w:t>The focus was on learning about physical and mental health as well as on community building.</w:t>
      </w:r>
    </w:p>
    <w:p>
      <w:r>
        <w:t>In this way, we also increase workplace safety.</w:t>
      </w:r>
    </w:p>
    <w:p>
      <w:r>
        <w:t>Compass for a Better Life’ was released, providing up-to-date information on the opportunities available to employees to maintain their health and spirit.</w:t>
      </w:r>
    </w:p>
    <w:p>
      <w:r>
        <w:t>Employees are informed about the processing of their personal data via a dedicated HR Privacy Statement.</w:t>
      </w:r>
    </w:p>
    <w:p>
      <w:r>
        <w:t>A dedicated channel is put in place for our employees to exercise their data subject rights.</w:t>
      </w:r>
    </w:p>
    <w:p>
      <w:r>
        <w:t>There were no severe human rights incidents related to our employees in the reporting period, including cases of non-respect of the UN Guiding Principles on Business and Human Rights, ILO International Labour Organisation Declaration on Fundamental Principles and Rights at Work and OECD Guidelines for Multinational Enterprises.</w:t>
      </w:r>
    </w:p>
    <w:p>
      <w:r>
        <w:t>It is a dynamic, living set of security controls, based on the most appropriate elements of ISO standards, the NIST Cybersecurity Framework and our own experience with information security.</w:t>
      </w:r>
    </w:p>
    <w:p>
      <w:r>
        <w:t>At the same time, these controls also establish the binding regulatory requirements to which KBC adheres, including but not limited to the EU General Data Protection Regulation and Digital Operational Resilience Act .</w:t>
      </w:r>
    </w:p>
    <w:p>
      <w:r>
        <w:t>The KBC Human Rights Policy refers to other, more specific, sustainability policies and describes our process in place, which is in line with the OECD Guidelines for Multinational Enterprises, the ILO International Labour Organisation Declaration on Fundamental Principles and Rights at Work and the UN Guiding Principles on Business and Human Rights.</w:t>
      </w:r>
    </w:p>
    <w:p>
      <w:r>
        <w:t>Alignment with internationally recognised instruments KBC considers internationally recognised instruments relevant to consumers, as demonstrated by the following, We are a signatory of the UN Global Compact Principles We apply the UN Guiding Principles on Business and Human Rights We are committed to respect the letter and the spirit of, the United Nations Universal Declaration of Human Rights.</w:t>
      </w:r>
    </w:p>
    <w:p>
      <w:r>
        <w:t>Our Sustainability Dashboard follows up on the implementation of our sustainability strategy, including our regular stakeholders’ dialogue and the follow up on the concerns of our stakeholders.</w:t>
      </w:r>
    </w:p>
    <w:p>
      <w:r>
        <w:t>The general or senior general manager of each of these departments has the operational responsibility to ensure that this engagement happens and that the outcome is communicated to the manager who is best placed to take the views and interests of the stakeholders into account.</w:t>
      </w:r>
    </w:p>
    <w:p>
      <w:r>
        <w:t>Moreover, the relevant product or service department analyses ex-post all complaints together with the Risk and Compliance departments in order to assess needs for improvement.</w:t>
      </w:r>
    </w:p>
    <w:p>
      <w:r>
        <w:t>Specifically with respect to social risks, within our Risk Appetite, a specific objective is dedicated to responsible behaviour.</w:t>
      </w:r>
    </w:p>
    <w:p>
      <w:r>
        <w:t>Protection of consumers, investors and policyholders, and data protection involve compliance risks that are in scope of the Compliance function, The following risks are identified as compliance risks, fair marketing practices, observance of the rules regarding provision of clear, straightforward and accurate information as specified in legislations related to various products, offering products in line with the client’s needs and profile, protection of the personal data of clients, etc.</w:t>
      </w:r>
    </w:p>
    <w:p>
      <w:r>
        <w:t>The compliance function advises on the correct implementation while also first line controls are carefully followed up on and effective implementation is monitored.</w:t>
      </w:r>
    </w:p>
    <w:p>
      <w:r>
        <w:t>Several initiatives are taken to protect our clients’ data, and governance is in place to ensure that General Data Protection Regulation is observed and the privacy of our clients is protected.</w:t>
      </w:r>
    </w:p>
    <w:p>
      <w:r>
        <w:t>This ensures alignment with broader risk oversight and KBC objectives.</w:t>
      </w:r>
    </w:p>
    <w:p>
      <w:r>
        <w:t>A thorough vetting process is in place to assess the cybersecurity practices of suppliers, contractors and partners before engagement.</w:t>
      </w:r>
    </w:p>
    <w:p>
      <w:r>
        <w:t>Continuous analysis and adaptation of security measures supports the commitment to stakeholder protection.</w:t>
      </w:r>
    </w:p>
    <w:p>
      <w:r>
        <w:t>In particular for social risks, the control functions, ensure that the launch of any new products or client-facing processes complies with the legal and regulatory provisions in place, such as MiFID II, the Insurance Distribution Directive , consumer protection regulations, Mortgage Credits Directive , Consumer Credits Directive, Payments Account Directive and other local and EU Regulations.</w:t>
      </w:r>
    </w:p>
    <w:p>
      <w:r>
        <w:t>The DPO is supported by colleagues in the Compliance department to adequately and timely address the reported issues.</w:t>
      </w:r>
    </w:p>
    <w:p>
      <w:r>
        <w:t>We offer specific mandatory training for every new employee and a three-yearly mandatory update training course for all staff including top management, the ExCo and employees in functions at risk, specifically linked to the codes of conduct and the anti-corruption programme.</w:t>
      </w:r>
    </w:p>
    <w:p>
      <w:r>
        <w:t>This ensures that we create and maintain a satisfying awareness and knowledge level among all employees that is commensurate with their business activities and position.</w:t>
      </w:r>
    </w:p>
    <w:p>
      <w:r>
        <w:t>The Integrity Policy focuses primarily on the following areas, for which – where appropriate – specific group-wide compliance rules have been issued, Preventing the financial system from being used for money laundering and terrorism financing including human trafficking activities, which are often underlying offences, observing embargoes, and preventing financing of proliferation of weapons of mass destruction.</w:t>
      </w:r>
    </w:p>
    <w:p>
      <w:r>
        <w:t>Fostering ethics and responsible behaviour as the foundation on which the strategy is built.</w:t>
      </w:r>
    </w:p>
    <w:p>
      <w:r>
        <w:t>The policy describes the accountabilities within KBC related to the management of compliance risks and the role of the Compliance function.</w:t>
      </w:r>
    </w:p>
    <w:p>
      <w:r>
        <w:t>It sets the minimum requirements for all these entities, which are required to draft their own local integrity policy, taking into consideration, where needed, local provisions for the activities performed.</w:t>
      </w:r>
    </w:p>
    <w:p>
      <w:r>
        <w:t>Most senior level accountable This policy is approved by the Board.</w:t>
      </w:r>
    </w:p>
    <w:p>
      <w:r>
        <w:t>Consideration key stakeholders Treating our clients and all other stakeholders in a fair, honest and professional manner is a key consideration in the Integrity Policy.</w:t>
      </w:r>
    </w:p>
    <w:p>
      <w:r>
        <w:t>Anti-Corruption and Bribery Policy The Anti-Corruption and Bribery Policy provides clarity about KBC’s zero tolerance for all forms of corruption for all employees and third parties with whom KBC has a contractual relationship and sets out the criteria and principles for avoiding conflicts of interest.</w:t>
      </w:r>
    </w:p>
    <w:p>
      <w:r>
        <w:t>The following aspects are part of this policy, Top-level commitment to and governance of the KBC Anti-Corruption Programme.</w:t>
      </w:r>
    </w:p>
    <w:p>
      <w:r>
        <w:t>Most senior level accountable This policy is approved by the ExCo and the Board.</w:t>
      </w:r>
    </w:p>
    <w:p>
      <w:r>
        <w:t>Consideration key stakeholders The objective of this policy is to protect our clients, our business relationships and society against bribery and corruption.</w:t>
      </w:r>
    </w:p>
    <w:p>
      <w:r>
        <w:t>It aims to ensure that everyone, including all employees, is aware of their role and KBC’s zero tolerance in this respect.</w:t>
      </w:r>
    </w:p>
    <w:p>
      <w:r>
        <w:t>Our goal is to ensure that all employees or other stakeholders, regardless of their location, feel empowered to raise concerns and feel protected when doing so.</w:t>
      </w:r>
    </w:p>
    <w:p>
      <w:r>
        <w:t>By fostering an environment where whistleblowing is encouraged and safeguarded, we aim to uphold our core values and promote a culture of responsible behaviour throughout the entire group.</w:t>
      </w:r>
    </w:p>
    <w:p>
      <w:r>
        <w:t>Beyond the legally required procedures for following up on reports by whistleblowers, KBC has broadened the scope of the Whistleblowing Policy as follows, The scope of the content has been broadened to include immoral or unethical conduct and conduct that compromises the credibility and reputation of the KBC group in general including corruption and bribery.</w:t>
      </w:r>
    </w:p>
    <w:p>
      <w:r>
        <w:t>We are committed to compliance with high standards of anti-money laundering and countering the financing of terrorism .</w:t>
      </w:r>
    </w:p>
    <w:p>
      <w:r>
        <w:t>In addition, as part of our Compliance Monitoring Programme, we perform recurrent AML/CTF-related quality controls in order to ensure the effectiveness of our instructions, procedures and processes in this domain.</w:t>
      </w:r>
    </w:p>
    <w:p>
      <w:r>
        <w:t>Consideration key stakeholders The objective of the policy is to protect our clients, our business relationships and society against money laundering and to counter the financing of terrorism.</w:t>
      </w:r>
    </w:p>
    <w:p>
      <w:r>
        <w:t>Furthermore, the Code describes the duties of the compliance officer, such as keeping a list of key employees and notifying them of the existence and content of the Dealing Code.</w:t>
      </w:r>
    </w:p>
    <w:p>
      <w:r>
        <w:t>The compliance officer also performs regular checks to ensure that the rules imposed are complied with and takes measures where necessary.</w:t>
      </w:r>
    </w:p>
    <w:p>
      <w:r>
        <w:t>Consideration key stakeholders The objective of this policy is to protect our clients, our business relationships and society against Insider Trading, Unlawful Disclosure of Inside Information and Market Manipulation.</w:t>
      </w:r>
    </w:p>
    <w:p>
      <w:r>
        <w:t>Ethics and Fraud Policy This policy aims to ensure that KBC takes all necessary steps to protect the good name, reputation and assets of KBC and its subsidiaries and of all employees, clients, suppliers and other stakeholders.</w:t>
      </w:r>
    </w:p>
    <w:p>
      <w:r>
        <w:t>It outlines the Fraud Risk Management Process, which consists of the following interdependent and mutually reinforcing steps, Establishing an anti-fraud culture.</w:t>
      </w:r>
    </w:p>
    <w:p>
      <w:r>
        <w:t>Consideration key stakeholders Integrity of our operations and the protection and interests of our stakeholders and our clients are placed at the forefront of fraud risk assessments and policy implementation.</w:t>
      </w:r>
    </w:p>
    <w:p>
      <w:r>
        <w:t>The policy has been designed and implemented to provide comprehensive protection for assets of both KBC and our stakeholders.</w:t>
      </w:r>
    </w:p>
    <w:p>
      <w:r>
        <w:t>We have proactive tax risk management and our tax compliance is based on robust systems, tools and procedures.</w:t>
      </w:r>
    </w:p>
    <w:p>
      <w:r>
        <w:t>Most senior level accountable This policy is approved by the ExCo and the Board.</w:t>
      </w:r>
    </w:p>
    <w:p>
      <w:r>
        <w:t>Consideration key stakeholders Our Tax Strategy has been drafted taking into account the interests and expectations of a wide base of key stakeholders, including tax administrations and governments, regulators, investors and shareholders, non-governmental organisations, the media and the general public, our clients and our employees.</w:t>
      </w:r>
    </w:p>
    <w:p>
      <w:r>
        <w:t>Consideration key stakeholders This policy has been challenged by our ISB, representing the interest of key stakeholders.</w:t>
      </w:r>
    </w:p>
    <w:p>
      <w:r>
        <w:t>Disclosure Published externally on Corporate culture To grow and maintain the trust of our stakeholders, it is crucial that all our employees always behave responsibly in everything they do, across all layers of the organisation.</w:t>
      </w:r>
    </w:p>
    <w:p>
      <w:r>
        <w:t>Responsible behaviour is a cornerstone of our corporate culture and is strongly rooted in all the above-mentioned policies, including the related training and awareness programmes.</w:t>
      </w:r>
    </w:p>
    <w:p>
      <w:r>
        <w:t>We have developed a ‘Responsible Behaviour Compass’ for our employees, a document that outlines basic principles of common sense around responsible behaviour and fair decision-making.</w:t>
      </w:r>
    </w:p>
    <w:p>
      <w:r>
        <w:t>Responsible behaviour is embedded in the whole organisation and is not limited to managers, but is expected from all our employees.</w:t>
      </w:r>
    </w:p>
    <w:p>
      <w:r>
        <w:t>As there is space for alternative views and even mistakes, without taboos, speaking up is encouraged at three levels, peer to peer, towards line management and/or via the whistleblowing channels we refer to our whistleblowing policy.</w:t>
      </w:r>
    </w:p>
    <w:p>
      <w:r>
        <w:t>Specifically with respect to governance risks, we have implemented the following, Within our risk appetite, specific objectives are dedicated to promoting strong corporate culture, corporate governance and risk &amp; compliance management.</w:t>
      </w:r>
    </w:p>
    <w:p>
      <w:r>
        <w:t>Protection of consumers, investors and insurance policyholders, prevention of money laundering and terrorism financing, corruption and bribery, fostering ethics and responsible behaviour and aspects of corporate governance are core compliance domains.</w:t>
      </w:r>
    </w:p>
    <w:p>
      <w:r>
        <w:t>Implementation of various first-line controls in the business lines to prevent corruption and bribery, which are additionally monitored in compliance monitoring programmes by the compliance function.</w:t>
      </w:r>
    </w:p>
    <w:p>
      <w:r>
        <w:t>Based on the procedures performed and assurance evidence obtained, nothing has come to our attention to cause us to believe that the sustainability information of the Group is in all material respects, not prepared in accordance with the requirements of article 3, 32/2 of the Companies’ and Associations’ Code, including compliance with the applicable European standards for sustainability information European Sustainability Reporting Standards .</w:t>
      </w:r>
    </w:p>
    <w:p>
      <w:r>
        <w:t>This standard requires the firm to design, implement and operate a system of quality management, including policies or procedures regarding compliance with ethical requirements, professional standards and applicable legal and regulatory requirements.</w:t>
      </w:r>
    </w:p>
    <w:p>
      <w:r>
        <w:t>In the context of our limited assurance engagement, we are responsible, as contractually determined, to verify the referencing from the sustainability information to the amounts reported in the consolidated financial statements.</w:t>
      </w:r>
    </w:p>
    <w:p>
      <w:r>
        <w:t>This responsibility includes, understanding the context in which the Group’s activities and business relationships take place and developing an understanding of its affected stakeholders.</w:t>
      </w:r>
    </w:p>
    <w:p>
      <w:r>
        <w:t>The board of directors of the Company is further responsible for the preparation of the sustainability information, which includes the information determined by the Process, in accordance with the requirements of article 3, 32/2 of the Companies’ and Associations’ Code, including compliance with the applicable European standards for sustainability information European Sustainability Reporting Standards .</w:t>
      </w:r>
    </w:p>
    <w:p>
      <w:r>
        <w:t>The audit committee is responsible for overseeing the Company’s sustainability information reporting process.</w:t>
      </w:r>
    </w:p>
    <w:p>
      <w:r>
        <w:t>Inherent limitations in preparing the sustainability information In reporting forward-looking information in accordance with ESRS, the board of directors of the Company is required to prepare the forward-looking information on the basis of disclosed assumptions about events that may occur in the future and possible future actions by the Group.</w:t>
      </w:r>
    </w:p>
    <w:p>
      <w:r>
        <w:t>Our other responsibilities in respect of the sustainability information include, obtaining an understanding of the Group’s control environment, relevant processes and information systems for the preparation of the sustainability information but not evaluating the design of particular control activities, obtaining evidence about their implementation or testing their operating effectiveness.</w:t>
      </w:r>
    </w:p>
    <w:p>
      <w:r>
        <w:t>On initial designation of the hedge, KBC formally documents the relationship between the hedging instrument, and hedged item, , including the risk management objective and strategy in undertaking the hedge, together with the method that will be used to assess the effectiveness of the hedging relationship.</w:t>
      </w:r>
    </w:p>
    <w:p>
      <w:r>
        <w:t>We have a solid sustainability governance structure in place to ensure group-wide integration of our sustainability strategy, which involves responsibility at the highest level and spans all areas of ESG.</w:t>
      </w:r>
    </w:p>
    <w:p>
      <w:r>
        <w:t>We have also defined ambitious climate targets for the most important sectors and products in our loan portfolio as well as in our investment portfolio.</w:t>
      </w:r>
    </w:p>
    <w:p>
      <w:r>
        <w:t>We work together with our clients to achieve these targets, and we actively collaborate with the companies in which we invest in order to reduce their climate impact.</w:t>
      </w:r>
    </w:p>
    <w:p>
      <w:r>
        <w:t>As part of our efforts to reduce our own direct footprint, we are taking relevant action in the areas of facilities buildings and mobility in particular, with a view to meeting our greenhouse gas emission reduction target.</w:t>
      </w:r>
    </w:p>
    <w:p>
      <w:r>
        <w:t>These risks are a source of significant uncertainty in the medium and long term when preparing the financial reports, partly because it is difficult to assess the consequences of climate change for our current portfolios and also because it is uncertain to what extent the mitigating actions and plans for our mainly indirect climate impact have financial consequences for future portfolios see the ‘Sustainability statement’ section’.</w:t>
      </w:r>
    </w:p>
    <w:p>
      <w:r>
        <w:t>The lending goals providing loans for renewable energy and reducing the greenhouse gas intensity of loans in particular can initially have a negative impact on the interest income realised on loans, perhaps through impact on margins but with the loans still meeting the SPPI test and/or production, which may later be offset by more limited credit losses given the increased resilience of the portfolio to climate-related risks.</w:t>
      </w:r>
    </w:p>
    <w:p>
      <w:r>
        <w:t>Based on IFRS 8, KBC has identified the Executive Committee and Board of Directors as ‘chief operating decision-makers’, responsible for allocating the resources and assessing the performance of the different parts of the company.</w:t>
      </w:r>
    </w:p>
    <w:p>
      <w:r>
        <w:t>Information on the capital increase reserved for KBC group employees can be found in the ‘Company annual accounts and additional information’ section.</w:t>
      </w:r>
    </w:p>
    <w:p>
      <w:r>
        <w:t>Dedicated processes have been developed focusing on the risk management of ESG-related credit risks, and in particular on identification measurement, risk appetite and follow-up.</w:t>
      </w:r>
    </w:p>
    <w:p>
      <w:r>
        <w:t>As regards risk appetite, KBC aims to limit the adverse impact of its activities on the environment and society and to encourage a positive impact, based on a responsible lending culture, the principles of which are laid out in a group-wide sustainability policy.</w:t>
      </w:r>
    </w:p>
    <w:p>
      <w:r>
        <w:t>KBC is also looking into the possibilities of a portfolio approach, which involves studying new methods to determine any relationship between the expected evolution of the climate and credit risk.</w:t>
      </w:r>
    </w:p>
    <w:p>
      <w:r>
        <w:t>These may be climate-related, environmental or social targets.</w:t>
      </w:r>
    </w:p>
    <w:p>
      <w:r>
        <w:t>More information on our Green Bond Framework and our Social Bond Framework is available at More information on major new debt issues or redemptions is provided under the ‘Consolidated cashflow statement’.</w:t>
      </w:r>
    </w:p>
    <w:p>
      <w:r>
        <w:t>We report on estimated greenhouse gas emissions associated with lending and other activities and have defined objectives for reducing the greenhouse gas intensity of loans we have provided to, among others, electricity producers and the real estate sector, mortgage loans and loans provided for commercial residential real estate, as well as loans provided to the automotive industry and car leasing see Note 6.</w:t>
      </w:r>
    </w:p>
    <w:p>
      <w:r>
        <w:t>The change in deferred tax liabilities of +6 million euros was accounted for chiefly by, an increase in deferred tax liabilities for employee benefit liabilities mainly recorded through OCI +17 million euros, tangible and intangible fixed assets +14 million euros and reinforced by financial instruments at fair value through profit or loss and fair value hedges +9 million euros.</w:t>
      </w:r>
    </w:p>
    <w:p>
      <w:r>
        <w:t>We nevertheless also calculate our own direct greenhouse gas impact and apply certain targets in that regard.</w:t>
      </w:r>
    </w:p>
    <w:p>
      <w:r>
        <w:t>The KBC Pension Fund believes in a balanced ESG approach that allows improvement of the greenhouse gas intensity but also considers other environmental themes such as biodiversity and social and governance-related issues.</w:t>
      </w:r>
    </w:p>
    <w:p>
      <w:r>
        <w:t>We report on estimated greenhouse gas emissions associated with lending, leasing and other activities and, in that context, have defined objectives for reducing the greenhouse gas intensity of our financial and operational car leasing.</w:t>
      </w:r>
    </w:p>
    <w:p>
      <w:r>
        <w:t>More detailed information on remuneration paid to key management staff is provided in the ‘Corporate governance statement’ section.</w:t>
      </w:r>
    </w:p>
    <w:p>
      <w:r>
        <w:t>In addition, the company may function as an intellectual property company responsible for, among other things, the development, acquisition, management, protection and maintenance of intellectual property rights, as well as for making these rights available, granting rights of use in respect of these rights and/or transferring these rights.</w:t>
      </w:r>
    </w:p>
    <w:p>
      <w:r>
        <w:t>Furthermore, the determination of the appropriate discounting of the said cash flows using the top-down approach is considered complex and highly judgemental, leading us to consider this as a key audit matter.</w:t>
      </w:r>
    </w:p>
    <w:p>
      <w:r>
        <w:t>Furthermore, the determination of the appropriate discounting of the said cash flows using the bottom-up approach is considered complex and highly judgemental, leading us to consider this as a key audit matter.</w:t>
      </w:r>
    </w:p>
    <w:p>
      <w:r>
        <w:t>In performing our audit, we comply with the legal, regulatory and normative framework applicable to the audit of the consolidated accounts in Belgium.</w:t>
      </w:r>
    </w:p>
    <w:p>
      <w:r>
        <w:t>As part of an audit in accordance with ISA, we exercise professional judgment and maintain professional skepticism throughout the audit.</w:t>
      </w:r>
    </w:p>
    <w:p>
      <w:r>
        <w:t>We are responsible for the direction, supervision and review of the audit work performed for purposes of the group audit.</w:t>
      </w:r>
    </w:p>
    <w:p>
      <w:r>
        <w:t>We are responsible for the direction, supervision and performance of the Group audit.</w:t>
      </w:r>
    </w:p>
    <w:p>
      <w:r>
        <w:t>In the context of our audit of the consolidated accounts, we are also responsible for considering, in particular based on the knowledge acquired resulting from the audit, whether the directors’ report on the consolidated accounts and the other information included in the annual report on the consolidated accounts, containing the sections, ● “Abridged company annual accounts”.</w:t>
      </w:r>
    </w:p>
    <w:p>
      <w:r>
        <w:t>The board of directors is responsible for the preparation of an annual report, in accordance with ESEF requirements, including the consolidated accounts in the form of an electronic file in ESEF format hereinafter “digital consolidated accounts”.</w:t>
      </w:r>
    </w:p>
    <w:p>
      <w:r>
        <w:t>A capital increase under the authorisation to increase capital carried out on 13 December 2024 and reserved exclusively for employees of KBC Group NV and certain of its Belgian subsidiaries resulted in 238 275 shares being issued at a price of 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