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754CD" w14:textId="77777777" w:rsidR="00531955" w:rsidRDefault="00000000">
      <w:r>
        <w:t>In this way, it contributes to KBC’s resilience, agility and sustainability and, more broadly, to the achievement of KBC’s strategic objectives.</w:t>
      </w:r>
    </w:p>
    <w:p w14:paraId="0E9D2E4B" w14:textId="77777777" w:rsidR="00531955" w:rsidRDefault="00000000">
      <w:r>
        <w:t>With the introduction of these disclosure templates, the regulatory authorities aim to reinforce market discipline by increasing the consistency and comparability of institutions’ public disclosures on the one hand and to achieve data transparency and reconciliation between external reporting, such as the Pillar 3 disclosures, and supervisory reporting based on FINREP and COREP data on the other hand.</w:t>
      </w:r>
    </w:p>
    <w:p w14:paraId="3F05A36D" w14:textId="19910920" w:rsidR="00531955" w:rsidRDefault="00000000">
      <w:r>
        <w:t>Although the disclosures mostly refer to the Basel III first-pillar risk metrics and focus on banking entities, KBC</w:t>
      </w:r>
      <w:r w:rsidR="00273074">
        <w:t xml:space="preserve"> </w:t>
      </w:r>
      <w:r>
        <w:t>as a bank-insurance company</w:t>
      </w:r>
      <w:r w:rsidR="00273074">
        <w:t xml:space="preserve"> </w:t>
      </w:r>
      <w:r>
        <w:t xml:space="preserve">has extended the scope to include the insurance activities as well </w:t>
      </w:r>
      <w:proofErr w:type="gramStart"/>
      <w:r>
        <w:t>in order to</w:t>
      </w:r>
      <w:proofErr w:type="gramEnd"/>
      <w:r>
        <w:t xml:space="preserve"> provide an overall view of the KBC group’s risk exposure and risk management activities.</w:t>
      </w:r>
    </w:p>
    <w:p w14:paraId="565B5E91" w14:textId="77777777" w:rsidR="00531955" w:rsidRDefault="00000000">
      <w:r>
        <w:t>However, the disclosures have been checked for consistency with other existing risk reports and underwent a final screening by authorised risk management representatives to ensure quality.</w:t>
      </w:r>
    </w:p>
    <w:p w14:paraId="0A47D5F1" w14:textId="77777777" w:rsidR="00531955" w:rsidRDefault="00000000">
      <w:r>
        <w:t>The strategy of the risk, compliance and actuarial functions therefore finds its origin in the overall KBC Corporate Strategy &amp; Pearl Culture and its translation into the KBC Risk Appetite, which sets the bar for risk management throughout KBC.</w:t>
      </w:r>
    </w:p>
    <w:p w14:paraId="00E73C4C" w14:textId="77777777" w:rsidR="00531955" w:rsidRDefault="00000000">
      <w:r>
        <w:t>The strategy of the risk, compliance and actuarial functions is based on three key pillars, Support the business, we support, advise and challenge the business in its everyday activities ‘business as usual’, in its transformation, aiming to help it keep KBC’s control environment up to standards and respect KBC’s risk appetite at all times.</w:t>
      </w:r>
    </w:p>
    <w:p w14:paraId="4200D67F" w14:textId="77777777" w:rsidR="00531955" w:rsidRDefault="00000000">
      <w:r>
        <w:t>Moreover, we ‘think Ecosphere’, we continuously extend and improve our risk and compliance framework for an increasingly digital, interconnected and sustainable future.</w:t>
      </w:r>
    </w:p>
    <w:p w14:paraId="3531AA65" w14:textId="77777777" w:rsidR="00531955" w:rsidRDefault="00000000">
      <w:r>
        <w:t>It is also accountable for having robust governance arrangements in place to ensure that all material risks of the KBC group are managed appropriately and for promoting a sound, consistent group-wide risk culture.</w:t>
      </w:r>
    </w:p>
    <w:p w14:paraId="4D62A4FB" w14:textId="77777777" w:rsidR="00531955" w:rsidRDefault="00000000">
      <w:r>
        <w:t>Schematic overview of the risk governance model We manage our risks using the ‘Three Lines of Defence’ model, Risk-aware business people act as the first line of defence for conducting sound risk management.</w:t>
      </w:r>
    </w:p>
    <w:p w14:paraId="5C60052D" w14:textId="77777777" w:rsidR="00531955" w:rsidRDefault="00000000">
      <w:r>
        <w:t>It is responsible for giving reasonable assurance to the Board of Directors that the overall internal control environment is effective, and that effective policies and processes are in place and applied consistently throughout the group.</w:t>
      </w:r>
    </w:p>
    <w:p w14:paraId="6AB380F0" w14:textId="77777777" w:rsidR="00531955" w:rsidRDefault="00000000">
      <w:r>
        <w:t>The CRO Services Management Committee convened on seven occasions during 2023.</w:t>
      </w:r>
    </w:p>
    <w:p w14:paraId="03665F1E" w14:textId="321D029C" w:rsidR="00531955" w:rsidRDefault="00000000">
      <w:r>
        <w:t>The activity-based Group Risk Committees for lending GLC</w:t>
      </w:r>
      <w:r w:rsidR="00273074">
        <w:t xml:space="preserve"> </w:t>
      </w:r>
      <w:r>
        <w:t>convened on twelve occasions, markets GMC</w:t>
      </w:r>
      <w:r w:rsidR="00273074">
        <w:t xml:space="preserve"> </w:t>
      </w:r>
      <w:r>
        <w:t>convened on twelve occasions and insurance GIC</w:t>
      </w:r>
      <w:r w:rsidR="00273074">
        <w:t xml:space="preserve"> </w:t>
      </w:r>
      <w:r>
        <w:t xml:space="preserve">convened on five occasions </w:t>
      </w:r>
      <w:r>
        <w:lastRenderedPageBreak/>
        <w:t>support the Executive Committee in integrated risk monitoring for these activities at group level.</w:t>
      </w:r>
    </w:p>
    <w:p w14:paraId="095BB2E8" w14:textId="063DF4F6" w:rsidR="00531955" w:rsidRDefault="00000000">
      <w:r>
        <w:t xml:space="preserve">To inform the Executive Committee and the Board of Directors adequately </w:t>
      </w:r>
      <w:proofErr w:type="gramStart"/>
      <w:r>
        <w:t>with regard to</w:t>
      </w:r>
      <w:proofErr w:type="gramEnd"/>
      <w:r>
        <w:t xml:space="preserve"> risk topics, the risk function distributes among other things</w:t>
      </w:r>
      <w:r w:rsidR="00542974">
        <w:t xml:space="preserve"> a</w:t>
      </w:r>
      <w:r>
        <w:t xml:space="preserve"> yearly report on the Internal Capital Adequacy Assessment Process, the Internal Liquidity Assessment Process and the Own Risk &amp; Solvency Assessment, presenting a view on the capital and liquidity adequacy of KBC for the group as a whole and for its entities.</w:t>
      </w:r>
    </w:p>
    <w:p w14:paraId="1DEB19D1" w14:textId="77777777" w:rsidR="00531955" w:rsidRDefault="00000000">
      <w:r>
        <w:t>Banks are required to maintain an internal governance and control framework that ensures a well-functioning internal risk management.</w:t>
      </w:r>
    </w:p>
    <w:p w14:paraId="5F4A2EDB" w14:textId="36A0421F" w:rsidR="00531955" w:rsidRDefault="00000000">
      <w:r>
        <w:t>Increasing regulatory</w:t>
      </w:r>
      <w:r w:rsidR="00C20A89">
        <w:t xml:space="preserve"> </w:t>
      </w:r>
      <w:r>
        <w:t>supervisory requirements and expectations, first-line initiatives, the race for talent and scarcity on the labour market for specific profiles, partially mitigated by a multi-location strategy, require ongoing attention if we are to keep our resources aligned with these challenges.</w:t>
      </w:r>
    </w:p>
    <w:p w14:paraId="3BF46FC9" w14:textId="77777777" w:rsidR="00531955" w:rsidRDefault="00000000">
      <w:r>
        <w:t>A comprehensive employee skill management programme is in place and a significant focus on training and skills development ensures continuous development of expertise.</w:t>
      </w:r>
    </w:p>
    <w:p w14:paraId="2B713EE6" w14:textId="77777777" w:rsidR="00531955" w:rsidRDefault="00000000">
      <w:r>
        <w:t>KBC’s Board members thoroughly discuss the Risk Appetite Statement, reflecting the amount of risk they are willing to accept in pursuing KBC’s strategic objectives.</w:t>
      </w:r>
    </w:p>
    <w:p w14:paraId="3286BEF8" w14:textId="77777777" w:rsidR="00531955" w:rsidRDefault="00000000">
      <w:r>
        <w:t>KBC strengthens its risk culture by communicating the risk appetite throughout the organisation in a way that is understandable for all stakeholders, to ensure that the risk mindset becomes part of our staff’s DNA.</w:t>
      </w:r>
    </w:p>
    <w:p w14:paraId="7658F985" w14:textId="77777777" w:rsidR="00531955" w:rsidRDefault="00000000">
      <w:r>
        <w:t>These constructive challenges are also reflected in the meeting minutes of, for example, the Board of Directors, the Risk &amp; Compliance Committee and the Audit Committee.</w:t>
      </w:r>
    </w:p>
    <w:p w14:paraId="4E6963D1" w14:textId="77777777" w:rsidR="00531955" w:rsidRDefault="00000000">
      <w:r>
        <w:t>KBC also regularly organises awareness campaigns towards its staff and clients for example on responsible behaviour when dealing with suspicious counterparties to avoid cyber incidents, or on responsible climate-related behaviour.</w:t>
      </w:r>
    </w:p>
    <w:p w14:paraId="3C27368C" w14:textId="77777777" w:rsidR="00531955" w:rsidRDefault="00000000">
      <w:r>
        <w:t>KBC’s policies also need to be adhered to when managing the diversity and inclusion of our staff, in the context of responsible remuneration or in areas which touch upon human rights.</w:t>
      </w:r>
    </w:p>
    <w:p w14:paraId="476468BC" w14:textId="77777777" w:rsidR="00531955" w:rsidRDefault="00000000">
      <w:r>
        <w:t>It refers to a set of minimum standards and risk methods, processes and tools that must be translated into all risk-type-specific Risk Management Frameworks RMFs and that all entities must adhere to.</w:t>
      </w:r>
    </w:p>
    <w:p w14:paraId="7212BFE6" w14:textId="77777777" w:rsidR="00531955" w:rsidRDefault="00000000">
      <w:r>
        <w:t>This is done with the help of risk measures, which allow us to assess the materiality of risks, to monitor them over time with a frequency that is appropriate for the risk type and to assess the impact of risk management actions.</w:t>
      </w:r>
    </w:p>
    <w:p w14:paraId="5458BEF5" w14:textId="77777777" w:rsidR="00531955" w:rsidRDefault="00000000">
      <w:r>
        <w:lastRenderedPageBreak/>
        <w:t>An overview of the extensive set of risk measures in use in the KBC group both regulatory and internally defined is provided in the ERMF and risk-type-specific frameworks.</w:t>
      </w:r>
    </w:p>
    <w:p w14:paraId="6BA2A620" w14:textId="7BE80BAF" w:rsidR="00531955" w:rsidRDefault="00000000">
      <w:r>
        <w:t>Four-eyes principle, have a second pair of eyes to ensure stakeholders can have sufficient confidence in the adequacy of the measurement</w:t>
      </w:r>
      <w:r w:rsidR="00970760">
        <w:t>.</w:t>
      </w:r>
    </w:p>
    <w:p w14:paraId="59CC13C2" w14:textId="7824D688" w:rsidR="00531955" w:rsidRDefault="00000000">
      <w:r>
        <w:t>Does it adequately reflect the underlying risk so that the measurement outcome can be used with full confidence for reporting</w:t>
      </w:r>
      <w:r w:rsidR="00C20A89">
        <w:t xml:space="preserve"> </w:t>
      </w:r>
      <w:r>
        <w:t>steering.</w:t>
      </w:r>
    </w:p>
    <w:p w14:paraId="051ED62B" w14:textId="77777777" w:rsidR="00531955" w:rsidRDefault="00000000">
      <w:r>
        <w:t>KBC’s model risk management standards establish a framework for identifying, understanding and efficiently managing model risk, similarly to any other risk type.</w:t>
      </w:r>
    </w:p>
    <w:p w14:paraId="0B0AD730" w14:textId="77777777" w:rsidR="00531955" w:rsidRDefault="00000000">
      <w:r>
        <w:t>The high-level risk appetite objectives, which are annually reviewed and reconfirmed by the Board, are further detailed for each separate risk type via qualitative and quantitative statements and via a risk appetite label, which can be Low, Medium or High.</w:t>
      </w:r>
    </w:p>
    <w:p w14:paraId="39EDFC51" w14:textId="77777777" w:rsidR="00531955" w:rsidRDefault="00000000">
      <w:r>
        <w:t>The overarching risk profile is expected to improve within the ‘medium risk’ zone, driven by lower risk profiles for capital, sustainable performance, operational risk and compliance risk, which compensate an expected increase in the credit, market trading, technical insurance and liquidity risk profiles.</w:t>
      </w:r>
    </w:p>
    <w:p w14:paraId="79F58BE2" w14:textId="57D0E81C" w:rsidR="00531955" w:rsidRDefault="00000000">
      <w:r>
        <w:t>Risk Report 2023 KBC Group 19 Schematic overview of risk appetite statement Risk analysis, reporting and follow-up Risk analysis and reporting aim to give management an increased level of transparency by providing a comprehensive, forward-looking and ex-post view of the development of the risk profile versus the risk appetite and of the context in which KBC operates.</w:t>
      </w:r>
    </w:p>
    <w:p w14:paraId="5C0462D9" w14:textId="77777777" w:rsidR="00531955" w:rsidRDefault="00000000">
      <w:r>
        <w:t>This holistic risk report consists of risk signals considered material for the group, allowing us to take timely action if and as needed, and of an overview, for all risk types, of the development of various risk measures versus the risk appetite via the ‘health check’ dashboard.</w:t>
      </w:r>
    </w:p>
    <w:p w14:paraId="2F510184" w14:textId="1CDC26AE" w:rsidR="00531955" w:rsidRDefault="00000000">
      <w:r>
        <w:t>In this perspective, stress testing is an important tool to support our risk management and decision-making processes by simulating the potential negative impact of specific events and</w:t>
      </w:r>
      <w:r w:rsidR="00C20A89">
        <w:t xml:space="preserve"> </w:t>
      </w:r>
      <w:r>
        <w:t>or movements in risk factors on KBC’s financial condition, so that we can better prepare for these situations or adjust our risk exposure proactively.</w:t>
      </w:r>
    </w:p>
    <w:p w14:paraId="51B3E0E5" w14:textId="77777777" w:rsidR="00531955" w:rsidRDefault="00000000">
      <w:r>
        <w:t>As part of the annual ICAAP, ILAAP and ORSA processes, KBC simulates a once-in-20-years stress event to check and demonstrate that it is able to meet the regulatory capital and liquidity requirements and internal risk appetite targets even under such stressed conditions.</w:t>
      </w:r>
    </w:p>
    <w:p w14:paraId="7CC79704" w14:textId="77777777" w:rsidR="00531955" w:rsidRDefault="00000000">
      <w:r>
        <w:t>For this reason, sustainability is an integral part of our overall corporate strategy and embedded in our dayto-day business activities and the products and services we offer.</w:t>
      </w:r>
    </w:p>
    <w:p w14:paraId="0FF96EE4" w14:textId="77777777" w:rsidR="00531955" w:rsidRDefault="00000000">
      <w:r>
        <w:t>In order to guarantee KBC’s long-term sustainability and financial resilience, we pursue strict ESG risk management.</w:t>
      </w:r>
    </w:p>
    <w:p w14:paraId="6F1FCCA9" w14:textId="77777777" w:rsidR="00531955" w:rsidRDefault="00000000">
      <w:r>
        <w:lastRenderedPageBreak/>
        <w:t>Processes and initiatives have been implemented for all three pillars Environmental, Social and Governance.</w:t>
      </w:r>
    </w:p>
    <w:p w14:paraId="31FB5333" w14:textId="77777777" w:rsidR="00531955" w:rsidRDefault="00000000">
      <w:r>
        <w:t>This section focuses on our ESG risk management processes.</w:t>
      </w:r>
    </w:p>
    <w:p w14:paraId="11B3A346" w14:textId="77777777" w:rsidR="00531955" w:rsidRDefault="00000000">
      <w:r>
        <w:t>Environmental risk is the risk arising from climate change climate risk or from other environmental degradation, such as biodiversity loss, scarcity of fresh water, air, water and soil pollution, and inadequate waste management.</w:t>
      </w:r>
    </w:p>
    <w:p w14:paraId="338B5C71" w14:textId="77777777" w:rsidR="00531955" w:rsidRDefault="00000000">
      <w:r>
        <w:t>Social risk is the risk arising from changing expectations concerning relationships with employees, suppliers, clients and communities, such as labour and workforce considerations labour standards, working conditions, diversity and inclusion, health and safety, human rights and poverty, community impact, client relationships client protection, including cyber risks, product responsibility, responsible marketing, etc.</w:t>
      </w:r>
    </w:p>
    <w:p w14:paraId="046634BE" w14:textId="77777777" w:rsidR="00531955" w:rsidRDefault="00000000">
      <w:r>
        <w:t>As such, ESG is not considered in isolation, but firmly embedded in all aspects and areas of KBC’s Risk Management Framework and underlying processes.</w:t>
      </w:r>
    </w:p>
    <w:p w14:paraId="600220C2" w14:textId="77777777" w:rsidR="00531955" w:rsidRDefault="00000000">
      <w:r>
        <w:t>For a more detailed overview of our ESG risk management processes of relevance to specific risk types, please refer to the risk-type-specific disclosures in the remainder of this section, which includes a dedicated ESG risk sub-section.</w:t>
      </w:r>
    </w:p>
    <w:p w14:paraId="4CAF941C" w14:textId="77777777" w:rsidR="00531955" w:rsidRDefault="00000000">
      <w:r>
        <w:t>At the UN Climate Change Conference in Dubai COP28, countries reaffirmed the Paris Agreement goal of limiting the increase in the global average temperature to well below 2°C while striving for a target of 1.</w:t>
      </w:r>
    </w:p>
    <w:p w14:paraId="06D1C3A7" w14:textId="7A6E0315" w:rsidR="00531955" w:rsidRDefault="00000000">
      <w:r>
        <w:t xml:space="preserve">By means of our dedicated Sustainable Finance </w:t>
      </w:r>
      <w:proofErr w:type="spellStart"/>
      <w:r>
        <w:t>Programme</w:t>
      </w:r>
      <w:proofErr w:type="spellEnd"/>
      <w:r w:rsidR="00273074">
        <w:t xml:space="preserve"> </w:t>
      </w:r>
      <w:r>
        <w:t>which is embedded in our sustainability strategy</w:t>
      </w:r>
      <w:r w:rsidR="00273074">
        <w:t xml:space="preserve"> </w:t>
      </w:r>
      <w:r>
        <w:t>we focus on limiting our adverse impact and increasing our positive impact by, incorporating environment-related opportunities into our core products, such as bonds, loans, investments and insurance contracts, as much as possible.</w:t>
      </w:r>
    </w:p>
    <w:p w14:paraId="384B8A1A" w14:textId="77777777" w:rsidR="00531955" w:rsidRDefault="00000000">
      <w:r>
        <w:t>Although the focus of our Sustainable Finance Programme was initially on climate change, we are continuously expanding our scope to include other environmental objectives.</w:t>
      </w:r>
    </w:p>
    <w:p w14:paraId="44FDD645" w14:textId="0FA44221" w:rsidR="00531955" w:rsidRDefault="00000000">
      <w:r>
        <w:t xml:space="preserve">Risk Report </w:t>
      </w:r>
      <w:proofErr w:type="gramStart"/>
      <w:r>
        <w:t xml:space="preserve">2023 </w:t>
      </w:r>
      <w:r w:rsidR="00605A2C">
        <w:t xml:space="preserve"> </w:t>
      </w:r>
      <w:r>
        <w:t>KBC</w:t>
      </w:r>
      <w:proofErr w:type="gramEnd"/>
      <w:r>
        <w:t xml:space="preserve"> </w:t>
      </w:r>
      <w:proofErr w:type="gramStart"/>
      <w:r>
        <w:t xml:space="preserve">Group </w:t>
      </w:r>
      <w:r w:rsidR="00605A2C">
        <w:t xml:space="preserve"> </w:t>
      </w:r>
      <w:r>
        <w:t>23</w:t>
      </w:r>
      <w:proofErr w:type="gramEnd"/>
      <w:r>
        <w:t xml:space="preserve"> When managing climate and other environmental risks, we differentiate between, KBC approaches climate risk from a double materiality perspective, concentrating on both, </w:t>
      </w:r>
      <w:proofErr w:type="gramStart"/>
      <w:r>
        <w:t>Financial</w:t>
      </w:r>
      <w:proofErr w:type="gramEnd"/>
      <w:r>
        <w:t xml:space="preserve"> materiality outside-in view, looking at the impact of climate change on our business.</w:t>
      </w:r>
    </w:p>
    <w:p w14:paraId="5911F233" w14:textId="77777777" w:rsidR="00531955" w:rsidRDefault="00000000">
      <w:r>
        <w:t>Transition risks, for example, can lead to sudden repricing of assets, market volatility, credit losses and climate-related litigation resulting from financing obsolete brown technology or infrastructure, impacting lending and investment portfolios, whereas physical risk can increase the level of claims under the insurance policies we provide as well as the value of our assets or collateral.</w:t>
      </w:r>
    </w:p>
    <w:p w14:paraId="20858644" w14:textId="77777777" w:rsidR="00531955" w:rsidRDefault="00000000">
      <w:r>
        <w:t>In that regard, KBC has stated publicly that it wants to play a leading role and be a significant lever in the process of transitioning to a more sustainable society and a low-</w:t>
      </w:r>
      <w:r>
        <w:lastRenderedPageBreak/>
        <w:t>carbon economy, including by committing to aligning its portfolios and business strategy with the Paris Agreement to keep global warming below 2°C while striving for a target of 1.</w:t>
      </w:r>
    </w:p>
    <w:p w14:paraId="3D7C9C38" w14:textId="77777777" w:rsidR="00531955" w:rsidRDefault="00000000">
      <w:r>
        <w:t>More information about our decarbonisation targets can be found in the KBC Sustainability Report.</w:t>
      </w:r>
    </w:p>
    <w:p w14:paraId="7081EF0D" w14:textId="77777777" w:rsidR="00531955" w:rsidRDefault="00000000">
      <w:r>
        <w:t>In the next section, we focus on the ‘Risk Management’ pillar of the TCFD framework.</w:t>
      </w:r>
    </w:p>
    <w:p w14:paraId="43BCB657" w14:textId="77777777" w:rsidR="00531955" w:rsidRDefault="00000000">
      <w:r>
        <w:t>For a more detailed overview of our ESG risk management processes of relevance to specific risk types, please refer to the risk-type-specific disclosures in the remainder of this section, which includes a dedicated ESG risk sub-section.</w:t>
      </w:r>
    </w:p>
    <w:p w14:paraId="39AC01BF" w14:textId="77777777" w:rsidR="00531955" w:rsidRDefault="00000000">
      <w:r>
        <w:t>When integrating ESG risks in all existing risk management processes, KBC aims for full compliance with upcoming regulatory requirements.</w:t>
      </w:r>
    </w:p>
    <w:p w14:paraId="16CBC392" w14:textId="77777777" w:rsidR="00531955" w:rsidRDefault="00000000">
      <w:r>
        <w:t>Within our Audit Framework, ESG risks are covered in multiple audit tracks.</w:t>
      </w:r>
    </w:p>
    <w:p w14:paraId="221A80F2" w14:textId="77777777" w:rsidR="00531955" w:rsidRDefault="00000000">
      <w:r>
        <w:t>Sustainability has been integrated into the remuneration systems for our employees and especially our senior management.</w:t>
      </w:r>
    </w:p>
    <w:p w14:paraId="6DD193A3" w14:textId="77777777" w:rsidR="00531955" w:rsidRDefault="00000000">
      <w:r>
        <w:t>We continue to take several initiatives to further increase ESG risk awareness, for example by following up on new and changing regulations through a Sustainable Finance Legal Working Group and by organising internal communication and training for risk staff and management.</w:t>
      </w:r>
    </w:p>
    <w:p w14:paraId="1C19B83F" w14:textId="484410BB" w:rsidR="00531955" w:rsidRDefault="00000000">
      <w:r>
        <w:t xml:space="preserve">Risk Report </w:t>
      </w:r>
      <w:proofErr w:type="gramStart"/>
      <w:r>
        <w:t xml:space="preserve">2023 </w:t>
      </w:r>
      <w:r w:rsidR="00605A2C">
        <w:t xml:space="preserve"> </w:t>
      </w:r>
      <w:r>
        <w:t>KBC</w:t>
      </w:r>
      <w:proofErr w:type="gramEnd"/>
      <w:r>
        <w:t xml:space="preserve"> </w:t>
      </w:r>
      <w:proofErr w:type="gramStart"/>
      <w:r>
        <w:t xml:space="preserve">Group </w:t>
      </w:r>
      <w:r w:rsidR="00605A2C">
        <w:t xml:space="preserve"> </w:t>
      </w:r>
      <w:r>
        <w:t>25</w:t>
      </w:r>
      <w:proofErr w:type="gramEnd"/>
      <w:r>
        <w:t xml:space="preserve"> Integration into risk management frameworks and processes Managing indirect ESG impacts </w:t>
      </w:r>
      <w:r w:rsidR="002C6E97">
        <w:t>as</w:t>
      </w:r>
      <w:r>
        <w:t xml:space="preserve"> a financial institution, we are vulnerable to ESG risks mostly indirectly</w:t>
      </w:r>
      <w:r w:rsidR="00F411FC">
        <w:t>.</w:t>
      </w:r>
    </w:p>
    <w:p w14:paraId="21BE0F3F" w14:textId="77777777" w:rsidR="00531955" w:rsidRDefault="00000000">
      <w:r>
        <w:t>With impacts materialising through our core activities lending, insurance and investment.</w:t>
      </w:r>
    </w:p>
    <w:p w14:paraId="135BACDF" w14:textId="77777777" w:rsidR="00531955" w:rsidRDefault="00000000">
      <w:r>
        <w:t>When developing our ESG risk management approach, we are taking steps to deal with the specific challenges that are inherent to the assessment of ESG risks, There is currently still a lack of data and standardised methods to properly assess and measure ESG risks with the same level of accuracy and quality as is usual for the more traditional risk types.</w:t>
      </w:r>
    </w:p>
    <w:p w14:paraId="3F039757" w14:textId="77777777" w:rsidR="00531955" w:rsidRDefault="00000000">
      <w:r>
        <w:t>Since 2022, climate-related data is managed via KBC’s dedicated Data &amp; Metrics project with a separate Steering Committee, involving all core countries and group functions.</w:t>
      </w:r>
    </w:p>
    <w:p w14:paraId="07D1C484" w14:textId="77777777" w:rsidR="00531955" w:rsidRDefault="00000000">
      <w:r>
        <w:t>Core projects managed by the Data &amp; Metrics project relate to the implementation of the EBA binding standards on Pillar 3 disclosures on ESG risks see Annex III, the EU Taxonomy Regulation and Corporate Sustainability Reporting Directive, as well as to the collection of the necessary data required for setting emission reduction targets for the most climate-relevant sectors see ‘Policies, restrictions and targets’ in this section.</w:t>
      </w:r>
    </w:p>
    <w:p w14:paraId="156CC29D" w14:textId="77777777" w:rsidR="00531955" w:rsidRDefault="00000000">
      <w:r>
        <w:t>Significant efforts have already been made to structurally gather key sustainability data such as clients’ GHG emission and location data and energy performance data for collateral, and to develop proxies in case of unavailability.</w:t>
      </w:r>
    </w:p>
    <w:p w14:paraId="0872BF87" w14:textId="77777777" w:rsidR="00531955" w:rsidRDefault="00000000">
      <w:r>
        <w:lastRenderedPageBreak/>
        <w:t>Given that the materialisation of environmental risks builds up over an extended period with transition risks dominating in the short and medium terms and potential severe physical hazards occurring more frequently in the longer term, we have adjusted our risk processes to make sure that, in addition to the more traditional shortterm impacts, medium and long-term considerations are also integrated into risk identification, risk appetite, stress testing and risk reporting.</w:t>
      </w:r>
    </w:p>
    <w:p w14:paraId="352A6440" w14:textId="77777777" w:rsidR="00531955" w:rsidRDefault="00000000">
      <w:r>
        <w:t>In order to deal with this uncertainty in our climate risk assessments, we consider a range of climate scenarios making specific assumptions on technological and policy changes and translating these into impacts on, for example, energy production, greenhouse gas emissions, oil consumption, etc.</w:t>
      </w:r>
    </w:p>
    <w:p w14:paraId="3654CCA8" w14:textId="77777777" w:rsidR="00531955" w:rsidRDefault="00000000">
      <w:r>
        <w:t>In the ‘Our people’ and ‘Our responsibility’ sections of the 2023 Sustainability Report, more information can be found on KBC’s initiatives regarding employee growth and development, a safe and healthy working environment, social dialogue, and diversity and inclusion.</w:t>
      </w:r>
    </w:p>
    <w:p w14:paraId="6E3C27F7" w14:textId="77777777" w:rsidR="00531955" w:rsidRDefault="00000000">
      <w:r>
        <w:t>In the sections below, KBC’s approach towards the integration of climate and other ESG risks into its risk management frameworks and processes is further elaborated.</w:t>
      </w:r>
    </w:p>
    <w:p w14:paraId="14D60DE4" w14:textId="77777777" w:rsidR="00531955" w:rsidRDefault="00000000">
      <w:r>
        <w:t>For a more detailed overview of our ESG risk management processes of relevance for specific risk types, please refer to the risk-type-specific disclosures in the remainder of this section, which includes a dedicated ESG risk sub-section.</w:t>
      </w:r>
    </w:p>
    <w:p w14:paraId="72DFB187" w14:textId="4418DAA7" w:rsidR="00531955" w:rsidRDefault="00000000">
      <w:r>
        <w:t>We are taking a step-by-step approach where follow-up actions are defined based on the insights gained from our previous actions</w:t>
      </w:r>
      <w:r w:rsidR="00C20A89">
        <w:t xml:space="preserve"> </w:t>
      </w:r>
      <w:r>
        <w:t>analyses and depending on, for example, the availability of data and methodologies and further regulatory developments.</w:t>
      </w:r>
    </w:p>
    <w:p w14:paraId="0AAA6FBF" w14:textId="77777777" w:rsidR="00531955" w:rsidRDefault="00000000">
      <w:r>
        <w:t>This group-wide process involves all necessary stakeholders, including entities from the business side, corporate sustainability and asset management.</w:t>
      </w:r>
    </w:p>
    <w:p w14:paraId="478DB4D9" w14:textId="77777777" w:rsidR="00531955" w:rsidRDefault="00000000">
      <w:r>
        <w:t>To ensure proactive risk identification, we have taken several initiatives, ESG risk signals are regularly reported to the Group Executive Committee, the Risk &amp; Compliance Committee and the Board of Directors via the Integrated Risk Report.</w:t>
      </w:r>
    </w:p>
    <w:p w14:paraId="225FC718" w14:textId="77777777" w:rsidR="00531955" w:rsidRDefault="00000000">
      <w:r>
        <w:t>In 2023, we have performed several additional identification exercises to increase our understanding of other environmental risks biodiversity loss, pollution and water stress, leveraging the methodology used for the Climate Risk Impact Map hence also considering different physical and transition risk drivers and time horizons.</w:t>
      </w:r>
    </w:p>
    <w:p w14:paraId="4F65AA86" w14:textId="77777777" w:rsidR="00531955" w:rsidRDefault="00000000">
      <w:r>
        <w:t>These pilot exercises have enabled the extension of the Climate Risk Impact Map to a more general Environmental Risk Impact Map.</w:t>
      </w:r>
    </w:p>
    <w:p w14:paraId="0A4BC979" w14:textId="77777777" w:rsidR="00531955" w:rsidRDefault="00000000">
      <w:r>
        <w:t>Extending the Climate Risk Impact Map with other environmental risks In 2021, KBC initiated the development of a Climate Risk Impact Map.</w:t>
      </w:r>
    </w:p>
    <w:p w14:paraId="187CE4ED" w14:textId="376D54F4" w:rsidR="00531955" w:rsidRDefault="00000000">
      <w:r>
        <w:t xml:space="preserve">It reflects the impact of transition risk policy and regulation, technology and consumer preferences and physical risk split according to different climate perils drivers on the </w:t>
      </w:r>
      <w:r>
        <w:lastRenderedPageBreak/>
        <w:t>traditional risk types, by distinguishing between different drivers of transition and physical risk, by considering three distinct industry-standard climate scenarios made available by the Network for Greening of the Financial System</w:t>
      </w:r>
      <w:r w:rsidR="003A7D7D">
        <w:t>.</w:t>
      </w:r>
    </w:p>
    <w:p w14:paraId="0A6713E5" w14:textId="30485A86" w:rsidR="00531955" w:rsidRDefault="00000000">
      <w:r>
        <w:t>The Net Zero 2050, Delayed transition and Current Policies scenario, for three different time horizons, short 0-3 years, medium 3-10 years and long term</w:t>
      </w:r>
      <w:r w:rsidR="006B6C45">
        <w:t xml:space="preserve"> </w:t>
      </w:r>
      <w:r>
        <w:t>10 years, as the impacts of climate risk will materialise over different time horizons.</w:t>
      </w:r>
    </w:p>
    <w:p w14:paraId="2F72E9B8" w14:textId="77777777" w:rsidR="00531955" w:rsidRDefault="00000000">
      <w:r>
        <w:t>A qualitative overview of the most material climate-risk-related vulnerabilities and their potential impacts on the traditional risk types is provided in the dedicated ESG sections in the remainder of this report.</w:t>
      </w:r>
    </w:p>
    <w:p w14:paraId="667D1427" w14:textId="77777777" w:rsidR="00531955" w:rsidRDefault="00000000">
      <w:r>
        <w:t>In general, considering the risk drivers and transmission channels listed above, the Climate Risk Impact Map results in the following conclusions, Transition risks are mainly expected to materialise in the ‘Net Zero 2050’ scenario on a short and medium time horizon, relatively subdued in case of the ‘Orderly transition’ and in a more extreme way in the ‘Delayed transition’ scenario on a longer time horizon as the scenario assumes an abrupt transition to take place around 2030.</w:t>
      </w:r>
    </w:p>
    <w:p w14:paraId="677B13FA" w14:textId="77777777" w:rsidR="00531955" w:rsidRDefault="00000000">
      <w:r>
        <w:t>The conclusions from the Climate Risk Impact Map have been incorporated into our risk management processes.</w:t>
      </w:r>
    </w:p>
    <w:p w14:paraId="77BA48AA" w14:textId="77777777" w:rsidR="00531955" w:rsidRDefault="00000000">
      <w:r>
        <w:t>The Impact Map’s conclusions also allow us to address the most material climate risks within the risk appetite, for example by adjusting policies and setting climate targets and key risk indicators see also ‘ESG is embedded in the risk appetite process’ in this section, and to follow up on the associated metrics and targets within our reporting processes.</w:t>
      </w:r>
    </w:p>
    <w:p w14:paraId="4082A2B6" w14:textId="1C96AA98" w:rsidR="00531955" w:rsidRDefault="00000000">
      <w:r>
        <w:t>As such, the Climate Risk Impact Map is crucial input to ICAAP</w:t>
      </w:r>
      <w:r w:rsidR="00C20A89">
        <w:t xml:space="preserve"> </w:t>
      </w:r>
      <w:r>
        <w:t>ILAAP</w:t>
      </w:r>
      <w:r w:rsidR="00C20A89">
        <w:t xml:space="preserve"> </w:t>
      </w:r>
      <w:r>
        <w:t>ORSA and the assessment of the impact of climate change on strategic and business model risk.</w:t>
      </w:r>
    </w:p>
    <w:p w14:paraId="39362BDE" w14:textId="22863CDB" w:rsidR="00A52C65" w:rsidRDefault="00000000">
      <w:r>
        <w:t>Scenarios by the Network for Greening the Financial System Risk Report 2023 KBC Group 29 Extending our approach to other environmental risks</w:t>
      </w:r>
      <w:r w:rsidR="00A52C65">
        <w:t>.</w:t>
      </w:r>
    </w:p>
    <w:p w14:paraId="6EA8EAD1" w14:textId="7BD86F63" w:rsidR="00531955" w:rsidRDefault="00000000">
      <w:r>
        <w:t>The main conclusions per risk type of these assessments are included in the ESG parts of the risk-type-specific sections throughout this document.</w:t>
      </w:r>
    </w:p>
    <w:p w14:paraId="614557CC" w14:textId="77777777" w:rsidR="00531955" w:rsidRDefault="00000000">
      <w:r>
        <w:t>Because of biodiversity loss, companies’ costs might increase due to increasing transition risks investments required to mitigate biodiversity loss or because physical assets such as crops are damaged due to the disruptions that biodiversity loss causes to the environment.</w:t>
      </w:r>
    </w:p>
    <w:p w14:paraId="3C462153" w14:textId="77777777" w:rsidR="00531955" w:rsidRDefault="00000000">
      <w:r>
        <w:t>In 2023, we have performed several additional identification exercises to increase our understanding of three other environmental risks biodiversity loss, pollution and water stress, leveraging the methodology used for the Climate Risk Impact Map hence also considering different physical and transition risk drivers and time horizons.</w:t>
      </w:r>
    </w:p>
    <w:p w14:paraId="69793C6D" w14:textId="77777777" w:rsidR="00531955" w:rsidRDefault="00000000">
      <w:r>
        <w:t>These environmental risk pilot exercises enable the extension of the Climate Risk Impact Map to a more general Environmental Risk Impact Map.</w:t>
      </w:r>
    </w:p>
    <w:p w14:paraId="6B10022E" w14:textId="77777777" w:rsidR="00531955" w:rsidRDefault="00000000">
      <w:r>
        <w:lastRenderedPageBreak/>
        <w:t>Other environmental risks E-risks and their impacts Strengthening ESG risk measurement and stress testing We make use of a series of tools and methodologies to strengthen our ability to identify, measure and analyse climaterelated risks by leveraging industry practices such as the Partnership for Carbon Accounting Financials and the Paris Agreement Capital Transition Assessment but also by using internally developed tools.</w:t>
      </w:r>
    </w:p>
    <w:p w14:paraId="60307DB8" w14:textId="77777777" w:rsidR="00531955" w:rsidRDefault="00000000">
      <w:r>
        <w:t>This additional component of the scenario assumes that the impact of climate change is felt earlier and more intensely than expected.</w:t>
      </w:r>
    </w:p>
    <w:p w14:paraId="3F53E1F9" w14:textId="77777777" w:rsidR="00531955" w:rsidRDefault="00000000">
      <w:r>
        <w:t>The results of the scenario analyses and stress tests performed support the conclusion from the Climate Risk Impact Map that no material impact is expected within the short term i.</w:t>
      </w:r>
    </w:p>
    <w:p w14:paraId="1010D70A" w14:textId="77777777" w:rsidR="00531955" w:rsidRDefault="00000000">
      <w:r>
        <w:t>The time horizon of our internal capital model.</w:t>
      </w:r>
    </w:p>
    <w:p w14:paraId="71165C58" w14:textId="77777777" w:rsidR="00531955" w:rsidRDefault="00000000">
      <w:r>
        <w:t>In tandem, KBC continues to make significant efforts to enhance data availability which will further enable accurate quantification of the climate and other ESG risks we are exposed to.</w:t>
      </w:r>
    </w:p>
    <w:p w14:paraId="01E18147" w14:textId="77777777" w:rsidR="00531955" w:rsidRDefault="00000000">
      <w:r>
        <w:t>Looking ahead, in 2024 KBC will perform an additional dedicated climate risk stress test, covering both transition risks and climate-related physical risk events.</w:t>
      </w:r>
    </w:p>
    <w:p w14:paraId="43292416" w14:textId="77777777" w:rsidR="00531955" w:rsidRDefault="00000000">
      <w:r>
        <w:t>These include, championing a strong corporate culture which encourages responsible behaviour and is supported by a promotion and remuneration policy with a sustainable and long-term view.</w:t>
      </w:r>
    </w:p>
    <w:p w14:paraId="1C5A28AD" w14:textId="77777777" w:rsidR="00531955" w:rsidRDefault="00000000">
      <w:r>
        <w:t>We manage volatility of net results by defining a solid risk management framework and risk appetite to ensure financial and operational resilience in the short, medium and long term.</w:t>
      </w:r>
    </w:p>
    <w:p w14:paraId="49D746AB" w14:textId="77777777" w:rsidR="00531955" w:rsidRDefault="00000000">
      <w:r>
        <w:t>KBC Group is committed to embedding ESG considerations into its decision making, risk management processes and client and third-party interactions, with the aim of contributing positively to society and safeguarding KBC’s long-term sustainability.</w:t>
      </w:r>
    </w:p>
    <w:p w14:paraId="62BEF572" w14:textId="77777777" w:rsidR="00531955" w:rsidRDefault="00000000">
      <w:r>
        <w:t>When integrating climate-related and other ESG risks into our risk appetite process, we not only focus on short-term impacts, but also take extended time horizons into consideration.</w:t>
      </w:r>
    </w:p>
    <w:p w14:paraId="52DB02C2" w14:textId="77777777" w:rsidR="00531955" w:rsidRDefault="00000000">
      <w:r>
        <w:t>More information can be found in the ‘Sustainable policies’ section of the 2023 Sustainability Report and in the KBC Group Sustainability Policy Framework The KBC Group Sustainability Policy Framework reflects international best practices, entailing that, for example, KBC will not provide financing or advisory services to projects where the client is unwilling or unable to comply with the Equator Principles.</w:t>
      </w:r>
    </w:p>
    <w:p w14:paraId="3705BF58" w14:textId="77777777" w:rsidR="00531955" w:rsidRDefault="00000000">
      <w:r>
        <w:t>The UN Global Compact asks companies to embrace, support and, within their sphere of influence, enact a set of core values in the areas of human rights, labour standards, the environment and combating corruption.</w:t>
      </w:r>
    </w:p>
    <w:p w14:paraId="728A57E6" w14:textId="77777777" w:rsidR="00531955" w:rsidRDefault="00000000">
      <w:r>
        <w:t xml:space="preserve">Our sustainability policies clearly define the ESG risk playing field for credit, insurance, advisory services and investments asset management and proprietary investments as well </w:t>
      </w:r>
      <w:r>
        <w:lastRenderedPageBreak/>
        <w:t>as supporting activities such as procurement and are regularly updated to reflect both society’s changing expectations and KBC’s evolving ambition level.</w:t>
      </w:r>
    </w:p>
    <w:p w14:paraId="405B16F4" w14:textId="77777777" w:rsidR="00531955" w:rsidRDefault="00000000">
      <w:r>
        <w:t>The exceptional, well-defined purpose-driven financing of renewable energy projects is subject to strict conditions, such as the strict ring-fencing of this type of financing from the company’s other activities, to ensure we do not support coalfired electricity or heat generation activities in any form or shape, whether directly or indirectly.</w:t>
      </w:r>
    </w:p>
    <w:p w14:paraId="018C66FC" w14:textId="77777777" w:rsidR="00531955" w:rsidRDefault="00000000">
      <w:r>
        <w:t>Our comprehensive policy on biodiversity excludes or restricts activities impacting forests, protected areas and endangered species, fisheries, mining, intensive cattle farming, and certain high-impact commodities such as palm oil, soy, sugarcane, coffee and cocoa.</w:t>
      </w:r>
    </w:p>
    <w:p w14:paraId="02578AF2" w14:textId="694AEA9A" w:rsidR="00531955" w:rsidRDefault="00000000">
      <w:r>
        <w:t>Additionally, several corporate governance policies and policies on responsible behaviour and business ethics are in place to manage ESG-related compliance risks see our sustainability policies.</w:t>
      </w:r>
    </w:p>
    <w:p w14:paraId="737A1EA2" w14:textId="77777777" w:rsidR="00531955" w:rsidRDefault="00000000">
      <w:r>
        <w:t>Within our annual business planning cycle, we focus on the development of new products that provide sustainable solutions, giving priority to energy, real estate, mobility and agriculture.</w:t>
      </w:r>
    </w:p>
    <w:p w14:paraId="2EF62573" w14:textId="77777777" w:rsidR="00531955" w:rsidRDefault="00000000">
      <w:r>
        <w:t>Introducing climate-related Key Risk Indicators In addition to the above-mentioned bans, zero tolerances and targets, in 2023, we have introduced a set of climate-related Key Risk Indicators KRIs into our risk appetite process.</w:t>
      </w:r>
    </w:p>
    <w:p w14:paraId="340769D8" w14:textId="77777777" w:rsidR="00531955" w:rsidRDefault="00000000">
      <w:r>
        <w:t>As ESG risks are being integrated into all processes, they are addressed in several internal reports, In addition to the bans and zero tolerances within our policies see above, we have also set targets, to reduce our financed emissions by establishing emission reduction targets for the most material carbonintensive industrial sectors and product lines in our lending business, in line with the Paris Agreement see the 2023 Sustainability Report.</w:t>
      </w:r>
    </w:p>
    <w:p w14:paraId="1B745EBC" w14:textId="77777777" w:rsidR="00531955" w:rsidRDefault="00000000">
      <w:r>
        <w:t>As the availability of data and measurement methodologies is gradually improving see the ‘Integration into risk management frameworks and processes’ section, monitoring of ESG-related risk will also be further enhanced.</w:t>
      </w:r>
    </w:p>
    <w:p w14:paraId="5A630EEA" w14:textId="77777777" w:rsidR="00531955" w:rsidRDefault="00000000">
      <w:r>
        <w:t>Indicators for climate-related risks and opportunities are integrated into the KBC Sustainability Dashboard presented to the Board of Directors twice a year, which allows us to monitor progress in the implementation of our sustainability strategy and to make adjustments when necessary.</w:t>
      </w:r>
    </w:p>
    <w:p w14:paraId="253FFED3" w14:textId="77777777" w:rsidR="00531955" w:rsidRDefault="00000000">
      <w:r>
        <w:t>External reporting Several externally published reports describe KBC’s approach to sustainability, all with different focus points.</w:t>
      </w:r>
    </w:p>
    <w:p w14:paraId="231FB9FF" w14:textId="77777777" w:rsidR="00531955" w:rsidRDefault="00000000">
      <w:r>
        <w:t>The report details how we address corporate sustainability and how we implement our sustainability strategy and Sustainable Finance Programme.</w:t>
      </w:r>
    </w:p>
    <w:p w14:paraId="132F4135" w14:textId="77777777" w:rsidR="00531955" w:rsidRDefault="00000000">
      <w:r>
        <w:t>It also describes the policies and guidelines we observe, the targets including decarbonisation targets we have set and our main achievements.</w:t>
      </w:r>
    </w:p>
    <w:p w14:paraId="16E5525E" w14:textId="77777777" w:rsidR="00531955" w:rsidRDefault="00000000">
      <w:r>
        <w:lastRenderedPageBreak/>
        <w:t>KBC’s Annual Report includes a summary of KBC’s approach towards sustainability, as well as additional reporting on EU Taxonomy eligibility and alignment.</w:t>
      </w:r>
    </w:p>
    <w:p w14:paraId="769597E4" w14:textId="77777777" w:rsidR="00531955" w:rsidRDefault="00000000">
      <w:r>
        <w:t>Further detail can be found in the 2023 Annual Report, in ‘Focus on the climate and the environment’ in the ‘Report of the Board of Directors’ section.</w:t>
      </w:r>
    </w:p>
    <w:p w14:paraId="63F10B6C" w14:textId="77777777" w:rsidR="00531955" w:rsidRDefault="00000000">
      <w:r>
        <w:t>In 2023, CDP confirmed KBC’s position as a sustainability leader in terms of its climate performance with an A rating and inclusion on CDP’s A List.</w:t>
      </w:r>
    </w:p>
    <w:p w14:paraId="31502958" w14:textId="77777777" w:rsidR="00531955" w:rsidRDefault="00000000">
      <w:r>
        <w:t>KBC also participated in the EBA’s one-off Fit-for-55 exercise, which is aimed at assessing the resilience of the financial sector in line with the Fit-for-55 package, and to gain insights into the capacity of the financial system to support the transition to a lower-carbon economy under conditions of stress.</w:t>
      </w:r>
    </w:p>
    <w:p w14:paraId="6B4ED927" w14:textId="1B774813" w:rsidR="00531955" w:rsidRDefault="00000000">
      <w:r>
        <w:t xml:space="preserve">As of 31 December 2021, the fully loaded figures immediately reflect the interim or annual profit, </w:t>
      </w:r>
      <w:proofErr w:type="gramStart"/>
      <w:r>
        <w:t>taking into account</w:t>
      </w:r>
      <w:proofErr w:type="gramEnd"/>
      <w:r>
        <w:t xml:space="preserve"> our dividend policy and</w:t>
      </w:r>
      <w:r w:rsidR="00C20A89">
        <w:t xml:space="preserve"> </w:t>
      </w:r>
      <w:r>
        <w:t>or any dividend proposal and</w:t>
      </w:r>
      <w:r w:rsidR="00C20A89">
        <w:t xml:space="preserve"> </w:t>
      </w:r>
      <w:r>
        <w:t>or decision by the Board of Directors.</w:t>
      </w:r>
    </w:p>
    <w:p w14:paraId="4AED923F" w14:textId="77777777" w:rsidR="00531955" w:rsidRDefault="00000000">
      <w:r>
        <w:t>It aims to achieve the best possible balance between regulatory requirements, rating agencies’ views, market expectations and management ambitions.</w:t>
      </w:r>
    </w:p>
    <w:p w14:paraId="17105614" w14:textId="0674C577" w:rsidR="00531955" w:rsidRDefault="00000000">
      <w:r>
        <w:t xml:space="preserve">As a result of its supervisory review and evaluation </w:t>
      </w:r>
      <w:proofErr w:type="gramStart"/>
      <w:r>
        <w:t>process ,</w:t>
      </w:r>
      <w:proofErr w:type="gramEnd"/>
      <w:r>
        <w:t xml:space="preserve"> the competent supervisory authority in KBC’s case, the ECB can require that higher minimum ratios be maintained = pillar 2 requirements because, for instance, not all risks are properly reflected in the regulatory pillar 1 calculations.</w:t>
      </w:r>
    </w:p>
    <w:p w14:paraId="68C2F2EA" w14:textId="77777777" w:rsidR="00531955" w:rsidRDefault="00000000">
      <w:r>
        <w:t>Each year, the Board of Directors will decide at its discretion on the total dividend based on an assessment of risks, forward-looking profitability and strategic opportunities.</w:t>
      </w:r>
    </w:p>
    <w:p w14:paraId="19EDD6F3" w14:textId="360AF07D" w:rsidR="00531955" w:rsidRDefault="00000000">
      <w:r>
        <w:t>The table below provides an overview of KBC’s buffers compared to these thresholds, both on a transitional basis</w:t>
      </w:r>
      <w:r w:rsidR="00E95072">
        <w:t>.</w:t>
      </w:r>
    </w:p>
    <w:p w14:paraId="545BD6E2" w14:textId="63210C0B" w:rsidR="00531955" w:rsidRDefault="00000000">
      <w:r>
        <w:t>Transitional figures relative to the regulatory targets that apply on the reporting date and on a fully loaded basis</w:t>
      </w:r>
      <w:r w:rsidR="00E95072">
        <w:t>.</w:t>
      </w:r>
    </w:p>
    <w:p w14:paraId="624F7531" w14:textId="77777777" w:rsidR="00531955" w:rsidRDefault="00000000">
      <w:r>
        <w:t>Fully loaded figures relative to the regulatory targets that will apply going forward.</w:t>
      </w:r>
    </w:p>
    <w:p w14:paraId="1D4FB185" w14:textId="77777777" w:rsidR="00531955" w:rsidRDefault="00000000">
      <w:r>
        <w:t>The outcome of these models is reported to the Executive Committee and the Board of Directors on a quarterly basis via the Integrated Risk Report, with more detailed reporting in the annual ICAAP report.</w:t>
      </w:r>
    </w:p>
    <w:p w14:paraId="1559F131" w14:textId="77777777" w:rsidR="00531955" w:rsidRDefault="00000000">
      <w:r>
        <w:t>They are complemented by a framework for assessing earnings that aims to reveal vulnerabilities in terms of the longer-term sustainability of our business model, and by a balanced mix of stress tests see below.</w:t>
      </w:r>
    </w:p>
    <w:p w14:paraId="3686AF48" w14:textId="77777777" w:rsidR="00531955" w:rsidRDefault="00000000">
      <w:r>
        <w:t xml:space="preserve">These reports allow the Board to make a statement on the ability of the group and its entities to maintain adequate capitalisation going forward in view of the corporate strategy and business model, the effectiveness of KBC’s risk and control environment, its governance </w:t>
      </w:r>
      <w:r>
        <w:lastRenderedPageBreak/>
        <w:t>and risk culture, and the current and expected development of KBC’s risk profile under various scenarios.</w:t>
      </w:r>
    </w:p>
    <w:p w14:paraId="67FF25C2" w14:textId="77777777" w:rsidR="00531955" w:rsidRDefault="00000000">
      <w:r>
        <w:t>As such, stress testing is an integral part of our risk management framework, and an important building block of our ICAAP and ORSA.</w:t>
      </w:r>
    </w:p>
    <w:p w14:paraId="4258840E" w14:textId="77777777" w:rsidR="00531955" w:rsidRDefault="00000000">
      <w:r>
        <w:t>The resulting capital ratios are compared to internal and regulatory capital targets.</w:t>
      </w:r>
    </w:p>
    <w:p w14:paraId="58CEDB3C" w14:textId="77777777" w:rsidR="00531955" w:rsidRDefault="00000000">
      <w:r>
        <w:t>These scenarios focus on events that lead to a breach of the regulatory capital requirements.</w:t>
      </w:r>
    </w:p>
    <w:p w14:paraId="12BD77F3" w14:textId="77777777" w:rsidR="00531955" w:rsidRDefault="00000000">
      <w:r>
        <w:t>Our credit products are varied in type and structure as they are tailored to suit the needs of our clients, the prevailing legal context, the risk profile of the transaction and the sustainability objectives that we have committed to.</w:t>
      </w:r>
    </w:p>
    <w:p w14:paraId="09AF4F04" w14:textId="77777777" w:rsidR="00531955" w:rsidRDefault="00000000">
      <w:r>
        <w:t>Managing credit risk In general, KBC manages the risks associated with credit-granting activities through a robust risk management framework, the implementation of various risk-mitigating measures, the adequate and transparent classification of credit risks and the recording of impairment charges as required.</w:t>
      </w:r>
    </w:p>
    <w:p w14:paraId="25770699" w14:textId="77777777" w:rsidR="00531955" w:rsidRDefault="00000000">
      <w:r>
        <w:t>In line with the Credit Risk Management Framework, credit risk is managed at both transactional and portfolio level.</w:t>
      </w:r>
    </w:p>
    <w:p w14:paraId="6244F39F" w14:textId="77777777" w:rsidR="00531955" w:rsidRDefault="00000000">
      <w:r>
        <w:t>Both the internal and external environments are scanned for events or developments that have already occurred or could occur and that directly or indirectly have or could have a significant impact on credit quality.</w:t>
      </w:r>
    </w:p>
    <w:p w14:paraId="0A430503" w14:textId="77777777" w:rsidR="00531955" w:rsidRDefault="00000000">
      <w:r>
        <w:t>The group risk appetite, including the strategic objectives with regard to credit risk tolerance, is determined by the Board of Directors by means of an annual review.</w:t>
      </w:r>
    </w:p>
    <w:p w14:paraId="48240D4B" w14:textId="77777777" w:rsidR="00531955" w:rsidRDefault="00000000">
      <w:r>
        <w:t>This framework is submitted to the Board of Directors for approval.</w:t>
      </w:r>
    </w:p>
    <w:p w14:paraId="2A1EE1D8" w14:textId="7B86386A" w:rsidR="00531955" w:rsidRDefault="00000000">
      <w:r>
        <w:t>Impact of external developments on credit risk While the impacts of the coronavirus pandemic and supply chain dislocation during the ensuing economic recovery have subsided and Covid restrictions have been phased out, the continuing Russia-Ukraine conflict and the associated disruption of worldwide energy markets, rapidly rising inflationary pressures and increasing interest rates presented new challenges for credit risk management.</w:t>
      </w:r>
    </w:p>
    <w:p w14:paraId="7DCAEF03" w14:textId="6874D7CD" w:rsidR="00531955" w:rsidRDefault="00000000">
      <w:r>
        <w:t>Disclosure of the use of the Standardised approach Credit exposure and CRM</w:t>
      </w:r>
      <w:r w:rsidR="00273074">
        <w:t xml:space="preserve"> </w:t>
      </w:r>
      <w:proofErr w:type="spellStart"/>
      <w:r>
        <w:t>Standardised</w:t>
      </w:r>
      <w:proofErr w:type="spellEnd"/>
      <w:r>
        <w:t xml:space="preserve"> approach KBC uses the regulatory defined risk buckets to assess the quality, and linked risk weight, for all exposure calculated according to the Standardised approach.</w:t>
      </w:r>
    </w:p>
    <w:p w14:paraId="6D40343B" w14:textId="77777777" w:rsidR="00531955" w:rsidRDefault="00000000">
      <w:r>
        <w:t>The exposure classes are those defined for the purpose of regulatory reporting according to the Standardised approach, viz.</w:t>
      </w:r>
    </w:p>
    <w:p w14:paraId="5320BC16" w14:textId="77777777" w:rsidR="00531955" w:rsidRDefault="00000000">
      <w:r>
        <w:t>MDB, claims on Multilateral Development Banks independently if these qualify as ‘Sovereign’ under the IRB approach.</w:t>
      </w:r>
    </w:p>
    <w:p w14:paraId="29DC6D30" w14:textId="5F84962F" w:rsidR="00531955" w:rsidRDefault="00000000">
      <w:r>
        <w:lastRenderedPageBreak/>
        <w:t xml:space="preserve">The exposure classes are those defined for the purpose of regulatory reporting according to the IRB approach, Central governments and central banks, this category includes claims on public sector entities, regional governments and local authorities </w:t>
      </w:r>
      <w:proofErr w:type="gramStart"/>
      <w:r>
        <w:t>as long as</w:t>
      </w:r>
      <w:proofErr w:type="gramEnd"/>
      <w:r>
        <w:t xml:space="preserve"> they are categorised as ‘Sovereign’ by the local regulator.</w:t>
      </w:r>
    </w:p>
    <w:p w14:paraId="08559213" w14:textId="77777777" w:rsidR="00531955" w:rsidRDefault="00000000">
      <w:r>
        <w:t>In 2023, this impact map has been supplemented for other environmental risks by piloting the assessment of credit risks stemming from biodiversity loss, pollution and water stress.</w:t>
      </w:r>
    </w:p>
    <w:p w14:paraId="55D188E4" w14:textId="77777777" w:rsidR="00531955" w:rsidRDefault="00000000">
      <w:r>
        <w:t>Emerging regulations to prevent biodiversity loss, to safeguard freshwater resources and to prevent pollution may impact our credit risk.</w:t>
      </w:r>
    </w:p>
    <w:p w14:paraId="627D7030" w14:textId="77777777" w:rsidR="00531955" w:rsidRDefault="00000000">
      <w:r>
        <w:t>For a subset of these portfolios, KBC has set climate targets and reports on the progress made.</w:t>
      </w:r>
    </w:p>
    <w:p w14:paraId="0145C7B8" w14:textId="77777777" w:rsidR="00531955" w:rsidRDefault="00000000">
      <w:r>
        <w:t>More details on the overall White Paper approach can be found in our Sustainability Report.</w:t>
      </w:r>
    </w:p>
    <w:p w14:paraId="6D0B8EFF" w14:textId="77777777" w:rsidR="00531955" w:rsidRDefault="00000000">
      <w:r>
        <w:t>At counterparty level, Internal Carbon Pricing is also leveraged to assess the financial impact of carbon taxation on greenhouse gas-intensive businesses.</w:t>
      </w:r>
    </w:p>
    <w:p w14:paraId="6F79AC78" w14:textId="77777777" w:rsidR="00531955" w:rsidRDefault="00000000">
      <w:r>
        <w:t>This analysis determines whether the companies in our loan portfolio are following a transition path in line with targets set by various climate transition scenarios.</w:t>
      </w:r>
    </w:p>
    <w:p w14:paraId="29DA691D" w14:textId="77777777" w:rsidR="00531955" w:rsidRDefault="00000000">
      <w:r>
        <w:t>This finding confirms the general risk appetite of KBC, as our loan books do not include large single-name exposures to activities which contribute the most to global greenhouse gas emissions.</w:t>
      </w:r>
    </w:p>
    <w:p w14:paraId="3AFF3834" w14:textId="77777777" w:rsidR="00531955" w:rsidRDefault="00000000">
      <w:r>
        <w:t>In order to measure the transition risk related to financing counterparties with high greenhouse gas emissions, KBC takes a progressive approach in collecting actual emission data from its counterparties.</w:t>
      </w:r>
    </w:p>
    <w:p w14:paraId="6C1C0558" w14:textId="77777777" w:rsidR="00531955" w:rsidRDefault="00000000">
      <w:r>
        <w:t>In general, the insights gained from the above-mentioned methodological tracks are valuable for identifying hot spots in KBC’s loan portfolio, as input for target setting and monitoring, for initiating policy adjustments and for climate risk stress testing.</w:t>
      </w:r>
    </w:p>
    <w:p w14:paraId="0A05F4BD" w14:textId="77777777" w:rsidR="00531955" w:rsidRDefault="00000000">
      <w:r>
        <w:t>These are also part of our continuous efforts to further integrate climate risk into our credit assessment processes.</w:t>
      </w:r>
    </w:p>
    <w:p w14:paraId="218A9C34" w14:textId="1A413D6B" w:rsidR="00531955" w:rsidRDefault="00000000">
      <w:r>
        <w:t>These principles are laid out in the Credit Risk Standards on Sustainable and Responsible Lending, which include restricted activities regarding biodiversity</w:t>
      </w:r>
      <w:r w:rsidR="00C20A89">
        <w:t xml:space="preserve"> </w:t>
      </w:r>
      <w:r>
        <w:t>ecosystem services and other environmental domains, and social domains, such as gambling, weapons, etc.</w:t>
      </w:r>
    </w:p>
    <w:p w14:paraId="5D972A71" w14:textId="77777777" w:rsidR="00531955" w:rsidRDefault="00000000">
      <w:r>
        <w:t>The governance, rules and procedures on how counterparty risk management should be performed throughout the group are outlined in the CRMF_PT.</w:t>
      </w:r>
    </w:p>
    <w:p w14:paraId="0B4409B2" w14:textId="3202C902" w:rsidR="00531955" w:rsidRDefault="00000000">
      <w:r>
        <w:t>The SA-CCR approach can be broken down into three building blocks, The regulatory imposed alpha factor</w:t>
      </w:r>
      <w:r w:rsidR="0000578B">
        <w:t>.</w:t>
      </w:r>
    </w:p>
    <w:p w14:paraId="4C34A092" w14:textId="77777777" w:rsidR="00531955" w:rsidRDefault="00000000">
      <w:r>
        <w:lastRenderedPageBreak/>
        <w:t>Default risk RWA by regulatory risk-weighting approach KBC uses three regulatory risk-weighting approaches, the Standardised approach, the IRB Foundation approach and the IRB Advanced approach.</w:t>
      </w:r>
    </w:p>
    <w:p w14:paraId="1A00CFA4" w14:textId="2477A08D" w:rsidR="00531955" w:rsidRDefault="00000000">
      <w:r>
        <w:t>A breakdown of the CCR exposure by each of the credit risk approaches and asset classes is provided in the following tables, EU CCR3</w:t>
      </w:r>
      <w:r w:rsidR="00273074">
        <w:t xml:space="preserve"> </w:t>
      </w:r>
      <w:proofErr w:type="spellStart"/>
      <w:r>
        <w:t>Standardised</w:t>
      </w:r>
      <w:proofErr w:type="spellEnd"/>
      <w:r>
        <w:t xml:space="preserve"> Approach-CCR exposures by regulatory exposure class and risk weight.</w:t>
      </w:r>
    </w:p>
    <w:p w14:paraId="2C2A8ECF" w14:textId="77777777" w:rsidR="00531955" w:rsidRDefault="00000000">
      <w:r>
        <w:t>ESG in Counterparty Credit Risk management ESG in KBC Group is documented in the ‘Climate-related and other ESG risk’ section.</w:t>
      </w:r>
    </w:p>
    <w:p w14:paraId="77B578EE" w14:textId="77777777" w:rsidR="00531955" w:rsidRDefault="00000000">
      <w:r>
        <w:t>In 2021, KBC initiated the development of a Climate Risk Impact Map, as described in the ‘ESG in our risk management’ section.</w:t>
      </w:r>
    </w:p>
    <w:p w14:paraId="07ED4B95" w14:textId="77777777" w:rsidR="00531955" w:rsidRDefault="00000000">
      <w:r>
        <w:t>It reflects the distinct impact of transition risk policy and regulation, technology and consumer preferences and physical risk drivers split according to different climate perils on the traditional risk types, thereby considering three different climate scenarios for three different time horizons.</w:t>
      </w:r>
    </w:p>
    <w:p w14:paraId="3579560A" w14:textId="77777777" w:rsidR="00531955" w:rsidRDefault="00000000">
      <w:r>
        <w:t>Managing market risk in trading activities The objective of our market risk management, overseen by the CRO Markets &amp; Treasury, is to measure, report and advise on the market risk of the aggregate trading position at group level, to ensure that activities are consistent with the group’s risk appetite.</w:t>
      </w:r>
    </w:p>
    <w:p w14:paraId="0AE69F58" w14:textId="2FE61EAE" w:rsidR="00531955" w:rsidRDefault="00000000">
      <w:r>
        <w:t xml:space="preserve">The building blocks for managing market risk in trading activities Risk identification </w:t>
      </w:r>
      <w:proofErr w:type="gramStart"/>
      <w:r>
        <w:t>The</w:t>
      </w:r>
      <w:proofErr w:type="gramEnd"/>
      <w:r>
        <w:t xml:space="preserve"> risk function analyses the results of value and risk calculations, market developments, ESG risk assessments, industry trends, new modelling insights, changes in regulations, etc.</w:t>
      </w:r>
    </w:p>
    <w:p w14:paraId="4C7BA10D" w14:textId="77777777" w:rsidR="00531955" w:rsidRDefault="00000000">
      <w:r>
        <w:t>Setting and cascading risk appetite The group risk appetite, including the strategic objectives with regard to trading market risk tolerance, is determined by the Board of Directors by means of an annual review.</w:t>
      </w:r>
    </w:p>
    <w:p w14:paraId="3DDE3E66" w14:textId="77777777" w:rsidR="00531955" w:rsidRDefault="00000000">
      <w:r>
        <w:t>Accordingly, VaR is the primary building block of KBC’s market risk management framework and regulatory capital calculations.</w:t>
      </w:r>
    </w:p>
    <w:p w14:paraId="120C9E42" w14:textId="77777777" w:rsidR="00531955" w:rsidRDefault="00000000">
      <w:r>
        <w:t>If there are more than four overshootings over a rolling window of 250 business days, this results in an increase in the regulatory multiplier of average HVaR and SVaR used for AIM capital requirement calculations.</w:t>
      </w:r>
    </w:p>
    <w:p w14:paraId="091FFD3B" w14:textId="77777777" w:rsidR="00531955" w:rsidRDefault="00000000">
      <w:r>
        <w:t>In addition, the Group Executive Committee of KBC established a Group Valuation Committee to ensure that KBC and its entities are compliant with all the relevant regulatory requirements concerning the valuation of financial instruments that are measured at fair value.</w:t>
      </w:r>
    </w:p>
    <w:p w14:paraId="2B427D34" w14:textId="77777777" w:rsidR="00531955" w:rsidRDefault="00000000">
      <w:r>
        <w:t xml:space="preserve">ESG in market risk trading management As it is a subject that is so important in these times, it is important to point out that environmental risk is indeed embedded in the activities and </w:t>
      </w:r>
      <w:r>
        <w:lastRenderedPageBreak/>
        <w:t>planning of the dealing room business of KBC and that the trading activities are also subject to the general KBC Group sustainability policies.</w:t>
      </w:r>
    </w:p>
    <w:p w14:paraId="30C9F348" w14:textId="77777777" w:rsidR="00531955" w:rsidRDefault="00000000">
      <w:r>
        <w:t>The governance, rules and procedures and how asset and liability risk management is performed throughout the group are outlined in the Non-Trading Market Risk Framework.</w:t>
      </w:r>
    </w:p>
    <w:p w14:paraId="4E86DE42" w14:textId="77777777" w:rsidR="00531955" w:rsidRDefault="00000000">
      <w:r>
        <w:t>The building blocks for managing market risk in non-trading activities A number of group-wide building blocks are defined to ensure proper risk management, Risk identification To identify market risks in the non-trading portfolios a number of tools are used, including the New and Active Products Process , the Environmental Risk Impact Map, the risk scan, and early warning processes triggered by recurrent monitoring.</w:t>
      </w:r>
    </w:p>
    <w:p w14:paraId="2709604C" w14:textId="77777777" w:rsidR="00531955" w:rsidRDefault="00000000">
      <w:r>
        <w:t>For this purpose, both the internal and external environments are scanned for events and developments that could have an impact on our non-trading books.</w:t>
      </w:r>
    </w:p>
    <w:p w14:paraId="2DC000AD" w14:textId="77777777" w:rsidR="00531955" w:rsidRDefault="00000000">
      <w:r>
        <w:t>Measures are complemented by stress tests, covering back-testing of prepayments, net interest income results under various scenarios, or the impact on regulatory capital stemming from interest, spread or equity risk residing within the banking books.</w:t>
      </w:r>
    </w:p>
    <w:p w14:paraId="39E6C81C" w14:textId="77777777" w:rsidR="00531955" w:rsidRDefault="00000000">
      <w:r>
        <w:t>Setting and cascading risk appetite The group risk appetite, including the strategic objectives with regard to non-trading market risk tolerance, is determined by the Board of Directors by means of an annual review.</w:t>
      </w:r>
    </w:p>
    <w:p w14:paraId="6597BD26" w14:textId="77777777" w:rsidR="00531955" w:rsidRDefault="00000000">
      <w:r>
        <w:t>Impact of external developments on market risk in the nontrading activities After the significant rate hikes in 2022, 2023 was characterised by a normalisation of interest rates after years of low rates.</w:t>
      </w:r>
    </w:p>
    <w:p w14:paraId="094058FD" w14:textId="77777777" w:rsidR="00531955" w:rsidRDefault="00000000">
      <w:r>
        <w:t>ESG in market risk non-trading management Within the ALM scope, ESG risk, specifically environmental risk, is considered for the portfolios of sovereign and corporate bonds, equity investment, and direct real estate.</w:t>
      </w:r>
    </w:p>
    <w:p w14:paraId="04A290E5" w14:textId="3B9D43E8" w:rsidR="00531955" w:rsidRDefault="00000000">
      <w:r>
        <w:t xml:space="preserve">For relevant positions in KBC Insurance NV, the carbon footprint of Climate Risk Impact Map, outcome for market risk non-trading Risk Report 2023 KBC Group 103 aggregated investment products </w:t>
      </w:r>
      <w:r w:rsidR="000D16B7">
        <w:t>are</w:t>
      </w:r>
      <w:r>
        <w:t xml:space="preserve"> assessed using TRUCOST data.</w:t>
      </w:r>
    </w:p>
    <w:p w14:paraId="6B9D5065" w14:textId="77777777" w:rsidR="00531955" w:rsidRDefault="00000000">
      <w:r>
        <w:t>Energy efficiency regulation of commercial and residential property could reduce the value of direct property and real estate funds.</w:t>
      </w:r>
    </w:p>
    <w:p w14:paraId="0D221D2B" w14:textId="77777777" w:rsidR="00531955" w:rsidRDefault="00000000">
      <w:r>
        <w:t>Insights are gathered and reported in alignment with other risk types in the Climate Risk Impact Map see ‘Components of sound risk management’.</w:t>
      </w:r>
    </w:p>
    <w:p w14:paraId="70C5B271" w14:textId="77777777" w:rsidR="00531955" w:rsidRDefault="00000000">
      <w:r>
        <w:t>The bond and equity portfolios are monitored via climate risk KRIs to ensure positions do not become more susceptible to transition risk.</w:t>
      </w:r>
    </w:p>
    <w:p w14:paraId="6B5B7F40" w14:textId="77777777" w:rsidR="00531955" w:rsidRDefault="00000000">
      <w:r>
        <w:t>Setting and cascading risk appetite The Board of Directors sets the overall risk appetite objective for liquidity in close cooperation with the Executive Committee and sets the limits for these measures.</w:t>
      </w:r>
    </w:p>
    <w:p w14:paraId="302DB12A" w14:textId="77777777" w:rsidR="00531955" w:rsidRDefault="00000000">
      <w:r>
        <w:lastRenderedPageBreak/>
        <w:t>The group risk appetite, including the strategic objectives with regard to liquidity risk tolerance, is determined by the Board of Directors by means of an annual review.</w:t>
      </w:r>
    </w:p>
    <w:p w14:paraId="63F255EC" w14:textId="77777777" w:rsidR="00531955" w:rsidRDefault="00000000">
      <w:r>
        <w:t>KBC’s low risk appetite for liquidity risk is illustrated by the fact that KBC is well above the thresholds for regulatory and internal liquidity measures.</w:t>
      </w:r>
    </w:p>
    <w:p w14:paraId="62D72B61" w14:textId="77777777" w:rsidR="00531955" w:rsidRDefault="00000000">
      <w:r>
        <w:t>This framework is submitted to the Board of Directors for approval.</w:t>
      </w:r>
    </w:p>
    <w:p w14:paraId="73A8109C" w14:textId="77777777" w:rsidR="00531955" w:rsidRDefault="00000000">
      <w:r>
        <w:t>This report allows the Board to make a statement on the ability of the group and its entities to maintain adequate liquidity going forward in view of the corporate strategy and business model, the effectiveness of KBC’s risk and control environment, its governance and risk culture, and the current and expected development of KBC’s risk profile under various scenarios.</w:t>
      </w:r>
    </w:p>
    <w:p w14:paraId="119231DA" w14:textId="77777777" w:rsidR="00531955" w:rsidRDefault="00000000">
      <w:r>
        <w:t>Impact of external developments on liquidity risk The significant increase in short-term interest rates following the monetary policy tightening implemented by the ECB as of 2022 impacted the composition of the deposit base at KBC Group.</w:t>
      </w:r>
    </w:p>
    <w:p w14:paraId="308F315E" w14:textId="77777777" w:rsidR="00531955" w:rsidRDefault="00000000">
      <w:r>
        <w:t>The Competence Centre is responsible for providing support for local implementation and for the functional direction of the insurance risk management processes of the insurance subsidiaries.</w:t>
      </w:r>
    </w:p>
    <w:p w14:paraId="0065AD55" w14:textId="77777777" w:rsidR="00531955" w:rsidRDefault="00000000">
      <w:r>
        <w:t>The actuarial function helps to ensure continuous compliance with the requirements regarding the calculation of technical provisions and the risks arising from this calculation, and assesses the reinsurance policy and underwriting risk see below for the specific tasks of the actuarial function.</w:t>
      </w:r>
    </w:p>
    <w:p w14:paraId="57B7429C" w14:textId="1F1BE054" w:rsidR="00531955" w:rsidRDefault="00000000">
      <w:r>
        <w:t>Risk Report 2023 KBC Group 113 and first-time assessment of risks increases the opportunities for a sound follow-up and response and hence is key to safeguarding KBC’s long-term sustainability.</w:t>
      </w:r>
    </w:p>
    <w:p w14:paraId="2C83455F" w14:textId="77777777" w:rsidR="00531955" w:rsidRDefault="00000000">
      <w:r>
        <w:t>Risk measurement Risk measures, applied consistently throughout the group, are classified into regulatory measures, internal measures and complementary measures, Regulatory measures, such as SCR Solvency Capital Requirement, MCR, Minimum Capital Requirement, Technical Provisions, Best Estimates and Risk Margin.</w:t>
      </w:r>
    </w:p>
    <w:p w14:paraId="4309288D" w14:textId="77777777" w:rsidR="00531955" w:rsidRDefault="00000000">
      <w:r>
        <w:t>Setting and cascading risk appetite The group risk appetite, including the strategic objectives with regard to the insurance risk tolerance, is determined by the Board of Directors by means of an annual review.</w:t>
      </w:r>
    </w:p>
    <w:p w14:paraId="5165774C" w14:textId="77777777" w:rsidR="00531955" w:rsidRDefault="00000000">
      <w:r>
        <w:t>It is responsible for providing support for local implementation and for the functional direction of the insurance risk management process of the insurance subsidiaries, KBC Insurance NV Belgium, KBC Group Re Luxembourg, K&amp;H Insurance Zrt.</w:t>
      </w:r>
    </w:p>
    <w:p w14:paraId="3C9E82CA" w14:textId="34CC093C" w:rsidR="00531955" w:rsidRDefault="00000000">
      <w:r>
        <w:t xml:space="preserve">More detailed information on the actuarial function can be found in our Solvency &amp; Financial Condition Report, which is available at Risk Report 2023 </w:t>
      </w:r>
      <w:r w:rsidR="00605A2C">
        <w:t xml:space="preserve"> </w:t>
      </w:r>
      <w:r>
        <w:t xml:space="preserve">KBC Group </w:t>
      </w:r>
      <w:r w:rsidR="00605A2C">
        <w:t xml:space="preserve"> </w:t>
      </w:r>
      <w:r>
        <w:t xml:space="preserve">117 ESG in technical insurance risk management Risk identification Strategic sectoral projects so-called </w:t>
      </w:r>
      <w:r>
        <w:lastRenderedPageBreak/>
        <w:t>‘White Papers’ are set up, where relevant also covering an assessment of the impact of climate change on specific KBC insurance portfolios such as insurance for real estate, mobility and agriculture.</w:t>
      </w:r>
    </w:p>
    <w:p w14:paraId="280C539B" w14:textId="77777777" w:rsidR="00531955" w:rsidRDefault="00000000">
      <w:r>
        <w:t>Client dialogue is an essential part of KBC’s approach to better understanding how business clients already deal or plan to deal with sustainability challenges and to supporting them in this transition.</w:t>
      </w:r>
    </w:p>
    <w:p w14:paraId="7BF01B13" w14:textId="77777777" w:rsidR="00531955" w:rsidRDefault="00000000">
      <w:r>
        <w:t>In addition, deep dives are performed to gain further insight into technical insurance risk and the impact of climate change.</w:t>
      </w:r>
    </w:p>
    <w:p w14:paraId="454BA9D4" w14:textId="77777777" w:rsidR="00531955" w:rsidRDefault="00000000">
      <w:r>
        <w:t>Risk appetite statement From an insurance perspective, KBC Group aims to limit the adverse impact of its activities on the environment and society and to encourage a positive impact, based on a responsible insurance culture and according to the principles described in the KBC Group Sustainability Framework.</w:t>
      </w:r>
    </w:p>
    <w:p w14:paraId="02BF0283" w14:textId="77777777" w:rsidR="00531955" w:rsidRDefault="00000000">
      <w:r>
        <w:t>To support stability in earnings and capital for our insurance business, appropriate risk mitigation is implemented by means of reinsurance programmes protecting against the impact of large claims or accumulation of losses due to climate change effects and by means of a diversified exposure across all core markets.</w:t>
      </w:r>
    </w:p>
    <w:p w14:paraId="74CFFC8E" w14:textId="77777777" w:rsidR="00531955" w:rsidRDefault="00000000">
      <w:r>
        <w:t>Risk analysis, reporting and follow-up Risks are reported internally, for example via the climate risk dashboard available to the Group Insurance Committee, and through the external reports required by law, such as the EU Taxonomy.</w:t>
      </w:r>
    </w:p>
    <w:p w14:paraId="6A18D0CB" w14:textId="77777777" w:rsidR="00531955" w:rsidRDefault="00000000">
      <w:r>
        <w:t>The following key stakeholders are standing members of the GICC, Group Risk including the Competence Centres for Operational Risk, Group Compliance including the Anti-Fraud Unit, Group Legal and Corporate Audit.</w:t>
      </w:r>
    </w:p>
    <w:p w14:paraId="550EDA3B" w14:textId="77777777" w:rsidR="00531955" w:rsidRDefault="00000000">
      <w:r>
        <w:t>The business committee Global IT Committee , chaired by the Group Chief Innovation Officer and with the Group Risk function structurally represented, serves as the governance structure to ensure alignment on Information Security and IT strategy across the group.</w:t>
      </w:r>
    </w:p>
    <w:p w14:paraId="35D6E526" w14:textId="77777777" w:rsidR="00531955" w:rsidRDefault="00000000">
      <w:r>
        <w:t>Setting and cascading risk appetite The group risk appetite, including the strategic objectives with regard to operational risk, is determined by the Board of Directors by means of an annual review.</w:t>
      </w:r>
    </w:p>
    <w:p w14:paraId="1021A2DF" w14:textId="77777777" w:rsidR="00531955" w:rsidRDefault="00000000">
      <w:r>
        <w:t>Risk analysis, reporting and follow-up Operational risk analysis and reporting aim to give management a transparent and comprehensive, forward-looking and ex-post view on the development of the risk profile and the context in which KBC operates.</w:t>
      </w:r>
    </w:p>
    <w:p w14:paraId="75720419" w14:textId="77777777" w:rsidR="00531955" w:rsidRDefault="00000000">
      <w:r>
        <w:t>To ensure that Information Security and Information Technology risks are effectively mitigated, a number of challenges are performed throughout the group on a regular basis, such as ethical hacking exercises, technical Cyber Resilience &amp; Readiness Testing, detailed investigations, employee phishing tests, crisis simulations and other incident drills.</w:t>
      </w:r>
    </w:p>
    <w:p w14:paraId="3214310A" w14:textId="77777777" w:rsidR="00531955" w:rsidRDefault="00000000">
      <w:r>
        <w:lastRenderedPageBreak/>
        <w:t>Regulatory requirements regarding follow-up, measurement and reporting of outsourcing risk have increased over the years.</w:t>
      </w:r>
    </w:p>
    <w:p w14:paraId="4BAA0D25" w14:textId="77777777" w:rsidR="00531955" w:rsidRDefault="00000000">
      <w:r>
        <w:t>As contracting external service providers is an essential part of operational processes and intra-group outsourcing is an important aspect of the KBC strategy, the need to focus on outsourcing risk remains a key element of the group-wide risk management at KBC.</w:t>
      </w:r>
    </w:p>
    <w:p w14:paraId="55C72D57" w14:textId="77777777" w:rsidR="00531955" w:rsidRDefault="00000000">
      <w:r>
        <w:t>Both policy and standards are supported by first and second lines of defence guidance to ensure a standardised approach, in compliance with the EBA and EIOPA Guidelines on Outsourcing, throughout the whole KBC group.</w:t>
      </w:r>
    </w:p>
    <w:p w14:paraId="552347D5" w14:textId="77777777" w:rsidR="00531955" w:rsidRDefault="00000000">
      <w:r>
        <w:t>Qualitative risk governance of KBC outsourced activities is ensured by regular risk assessments including a set of mandatory sub-risks, Process, IT, Information Security, ESG, Model, Fraud, Legal, Concentration, Offshoring and Stepin, their frequency being defined by the criticality of the outsourced activity.</w:t>
      </w:r>
    </w:p>
    <w:p w14:paraId="45879F6E" w14:textId="77777777" w:rsidR="00531955" w:rsidRDefault="00000000">
      <w:r>
        <w:t>Model risk management KBC’s data-driven strategy is underpinned by an expanding set of advanced mathematical, statistical and numerical models to support decision-making, measure and manage risk, manage businesses and streamline processes.</w:t>
      </w:r>
    </w:p>
    <w:p w14:paraId="7EFC0BC2" w14:textId="77777777" w:rsidR="00531955" w:rsidRDefault="00000000">
      <w:r>
        <w:t>KBC’s model risk management standards establish a framework for identifying, understanding and efficiently managing model risk, similar to any other risk type.</w:t>
      </w:r>
    </w:p>
    <w:p w14:paraId="265C18A6" w14:textId="77777777" w:rsidR="00531955" w:rsidRDefault="00000000">
      <w:r>
        <w:t>To ensure responsible product development within KBC, no product, process or service can be created, purchased, changed or sold without review in line with NAPP governance.</w:t>
      </w:r>
    </w:p>
    <w:p w14:paraId="362A65DB" w14:textId="77777777" w:rsidR="00531955" w:rsidRDefault="00000000">
      <w:r>
        <w:t>Particular attention is paid to the adequate ‘green’ labelling of newly developed products, aligned with regulatory frameworks such as the EU Taxonomy and the ICMA Green Bond framework.</w:t>
      </w:r>
    </w:p>
    <w:p w14:paraId="13925C53" w14:textId="77777777" w:rsidR="00531955" w:rsidRDefault="00000000">
      <w:r>
        <w:t>Mainly in the medium term of a ‘Delayed transition’ scenario, the probability of errors made in addressing new regulations can increase following the abrupt changes needed to comply with regulations, increasing the probability of climate-related litigation and reputational damage.</w:t>
      </w:r>
    </w:p>
    <w:p w14:paraId="70ECA6DA" w14:textId="77777777" w:rsidR="00531955" w:rsidRDefault="00000000">
      <w:r>
        <w:t>These are, however, considered in our business continuity plans which cover the impact of climate-related and environmental events with a focus depending on the local context.</w:t>
      </w:r>
    </w:p>
    <w:p w14:paraId="41C9FD12" w14:textId="77777777" w:rsidR="00531955" w:rsidRDefault="00000000">
      <w:r>
        <w:t>Compliance risk is covered by the Compliance Charter, the Integrity Policy and the Group Compliance Rules.</w:t>
      </w:r>
    </w:p>
    <w:p w14:paraId="7CFE6963" w14:textId="77777777" w:rsidR="00531955" w:rsidRDefault="00000000">
      <w:r>
        <w:t>This preventive role is put into practice by Group Compliance Rules that define minimum requirements for the entire group, the provision of procedures and instructions, tailored training courses, daily advice and independent opinions in the New and Active Products Process, information on new regulatory developments to the governance bodies in support of the group strategy and the implementation of legal and regulatory requirements by the various businesses concerned.</w:t>
      </w:r>
    </w:p>
    <w:p w14:paraId="471DF09A" w14:textId="4CA758B8" w:rsidR="00531955" w:rsidRDefault="00000000">
      <w:r>
        <w:lastRenderedPageBreak/>
        <w:t xml:space="preserve">On the other </w:t>
      </w:r>
      <w:proofErr w:type="gramStart"/>
      <w:r>
        <w:t>hand</w:t>
      </w:r>
      <w:proofErr w:type="gramEnd"/>
      <w:r w:rsidR="00273074">
        <w:t xml:space="preserve"> </w:t>
      </w:r>
      <w:r>
        <w:t xml:space="preserve">as the second line of </w:t>
      </w:r>
      <w:proofErr w:type="spellStart"/>
      <w:r>
        <w:t>defence</w:t>
      </w:r>
      <w:proofErr w:type="spellEnd"/>
      <w:r w:rsidR="00273074">
        <w:t xml:space="preserve"> </w:t>
      </w:r>
      <w:r>
        <w:t>it carries out risk-based monitoring to ensure the adequacy of the internal control system.</w:t>
      </w:r>
    </w:p>
    <w:p w14:paraId="62A42487" w14:textId="77777777" w:rsidR="00531955" w:rsidRDefault="00000000">
      <w:r>
        <w:t>More specifically, monitoring allows it to verify whether legal and regulatory requirements pertaining to the different compliance domains covered are correctly implemented in the business.</w:t>
      </w:r>
    </w:p>
    <w:p w14:paraId="4E1A2E0D" w14:textId="77777777" w:rsidR="00531955" w:rsidRDefault="00000000">
      <w:r>
        <w:t>Moreover, quality controls are performed in the main group entities to assure the Board of Directors that the compliance risk is properly assessed by the local Compliance function.</w:t>
      </w:r>
    </w:p>
    <w:p w14:paraId="5D658ED9" w14:textId="2E4D4040" w:rsidR="00531955" w:rsidRDefault="00000000">
      <w:r>
        <w:t>Lastly, compliance and conduct risk’ has been identified as a top risk for some years now, which relates to anti-money laundering, GDPR, sustainable finance and embargoes.</w:t>
      </w:r>
    </w:p>
    <w:p w14:paraId="1C260AC7" w14:textId="77777777" w:rsidR="00531955" w:rsidRDefault="00000000">
      <w:r>
        <w:t>Since 2020, significant efforts have been concentrated on the scalable and future-proof features of the Compliance function.</w:t>
      </w:r>
    </w:p>
    <w:p w14:paraId="7A783600" w14:textId="77777777" w:rsidR="00531955" w:rsidRDefault="00000000">
      <w:r>
        <w:t>In the past few years, resources were increased within the Compliance function to enable a strong reinforcement of the Compliance Monitoring Programme and to keep pace with the expanding regulatory requirements and fast strategic and business developments.</w:t>
      </w:r>
    </w:p>
    <w:p w14:paraId="70BCA9AA" w14:textId="03A8AE04" w:rsidR="00531955" w:rsidRDefault="00000000">
      <w:r>
        <w:t>Compliance risk is the risk that a judicial, administrative or regulatory sanction is imposed on an institution and</w:t>
      </w:r>
      <w:r w:rsidR="00C20A89">
        <w:t xml:space="preserve"> </w:t>
      </w:r>
      <w:r>
        <w:t>or its employees because of non-compliance with the laws and regulations pertaining to the compliance domains, resulting in loss of reputation and potential financial loss.</w:t>
      </w:r>
    </w:p>
    <w:p w14:paraId="10C5CEC7" w14:textId="77777777" w:rsidR="00531955" w:rsidRDefault="00000000">
      <w:r>
        <w:t>This loss of reputation can also be the result of non-compliance with the internal policy in this regard and with the institution’s own values and codes of conduct in relation to the integrity of its activities.</w:t>
      </w:r>
    </w:p>
    <w:p w14:paraId="0F9A710D" w14:textId="2161DF93" w:rsidR="00531955" w:rsidRDefault="00000000">
      <w:r>
        <w:t>As a matter of priority and as a minimum, the scope of activities of the Compliance function is to be concentrated in the following areas of integrity, Anti-Money Laundering and Countering the Financing of Terrorism, Tax Fraud Prevention, Investor Protection, Data Protection, Business Ethics, Fraud Risk Management, Protection of the Policyholder, Non-Discrimination, Consumer Protection, Governance Aspects of CRD IV and V, Solvency II and</w:t>
      </w:r>
      <w:r w:rsidR="00C20A89">
        <w:t xml:space="preserve"> </w:t>
      </w:r>
      <w:r>
        <w:t>or local legislation and Sustainable Finance.</w:t>
      </w:r>
    </w:p>
    <w:p w14:paraId="32EFC183" w14:textId="77777777" w:rsidR="00531955" w:rsidRDefault="00000000">
      <w:r>
        <w:t>Efforts are continuously made to adapt the organisation to a constantly changing regulatory environment, particularly with regard to clients who present an increased risk and for whom additional information is required.</w:t>
      </w:r>
    </w:p>
    <w:p w14:paraId="32DF8480" w14:textId="77777777" w:rsidR="00531955" w:rsidRDefault="00000000">
      <w:r>
        <w:t>The Compliance function is also closely following the EU developments at the level of the new AML Authority and regulatory provisions expected in 2024.</w:t>
      </w:r>
    </w:p>
    <w:p w14:paraId="43EAE809" w14:textId="77777777" w:rsidR="00531955" w:rsidRDefault="00000000">
      <w:r>
        <w:t>Special emphasis is placed on a preventive risk management approach for example, embargo circumvention measures.</w:t>
      </w:r>
    </w:p>
    <w:p w14:paraId="25D46A54" w14:textId="77777777" w:rsidR="00531955" w:rsidRDefault="00000000">
      <w:r>
        <w:lastRenderedPageBreak/>
        <w:t>The control functions including Compliance ensure that, under the New and Active Products Process, the launch of any new products conforms with the many legal and regulatory provisions in place, such as MiFID II, the Insurance Distribution Directive and other local and EU Regulations, as well as being in line with KBC’s values.</w:t>
      </w:r>
    </w:p>
    <w:p w14:paraId="60FFCFD0" w14:textId="77777777" w:rsidR="00531955" w:rsidRDefault="00000000">
      <w:r>
        <w:t>In the context of KBC’s data-driven strategy, it is crucial to pay attention to all upcoming regulatory developments in the data protection domain, as there are many.</w:t>
      </w:r>
    </w:p>
    <w:p w14:paraId="50D43A59" w14:textId="77777777" w:rsidR="00531955" w:rsidRDefault="00000000">
      <w:r>
        <w:t>From the point of view of sustainability, KBC promotes a strong corporate culture that encourages responsible behaviour throughout the entire organisation, including in terms of Environmental, Social and Governance responsibility.</w:t>
      </w:r>
    </w:p>
    <w:p w14:paraId="78CF55B9" w14:textId="7BABBB50" w:rsidR="00531955" w:rsidRDefault="00000000">
      <w:r>
        <w:t>Several compliance domains are closely linked to these aspects, such as corporate governance, investor</w:t>
      </w:r>
      <w:r w:rsidR="00C20A89">
        <w:t xml:space="preserve"> </w:t>
      </w:r>
      <w:r>
        <w:t>consumer protection, ethics &amp; fraud, anti-money laundering, etc.</w:t>
      </w:r>
    </w:p>
    <w:p w14:paraId="4518A1E7" w14:textId="77777777" w:rsidR="00531955" w:rsidRDefault="00000000">
      <w:r>
        <w:t>Particular attention is devoted to the adequate ‘green’ labelling of newly developed products within the NAPP process, aligned with regulatory frameworks such as the EU Taxonomy and the International Capital Markets Association Green Bond framework.</w:t>
      </w:r>
    </w:p>
    <w:p w14:paraId="5D07F2F5" w14:textId="77777777" w:rsidR="00531955" w:rsidRDefault="00000000">
      <w:r>
        <w:t>Operational risk and regulatory capital requirements In line with the current Basel III adequacy rules for banking institutions, KBC uses a standardised approach for the calculation of the regulatory operational risk capital.</w:t>
      </w:r>
    </w:p>
    <w:p w14:paraId="15008B41" w14:textId="77777777" w:rsidR="00531955" w:rsidRDefault="00000000">
      <w:r>
        <w:t>In support of the ICS reporting, the KBC ICS Policy describes the governance in place, as well as the process including the roles and responsibilities of the main stakeholders involved.</w:t>
      </w:r>
    </w:p>
    <w:p w14:paraId="50EB05D1" w14:textId="77777777" w:rsidR="00531955" w:rsidRDefault="00000000">
      <w:r>
        <w:t>The ICS Guidelines of Group Operational Risk and Group Compliance and the ‘Audit Opinion on the quality of the Internal Control’ standards of Corporate Audit, which give more specific guidance in preparation of the.</w:t>
      </w:r>
    </w:p>
    <w:p w14:paraId="634B0E85" w14:textId="77777777" w:rsidR="00531955" w:rsidRDefault="00000000">
      <w:r>
        <w:t>We promote a strong corporate culture that encourages responsible behaviour throughout the entire organisation, including social and environmental responsibilities.</w:t>
      </w:r>
    </w:p>
    <w:p w14:paraId="5178FE39" w14:textId="77777777" w:rsidR="00531955" w:rsidRDefault="00000000">
      <w:r>
        <w:t>In this respect KBC commits to the Paris Agreement climate goals through the Collective Commitment for Climate Action, strives to limit the negative impact of its products and services on society and provides its clients with financial solutions and business opportunities with a positive impact.</w:t>
      </w:r>
    </w:p>
    <w:p w14:paraId="29BDBEDA" w14:textId="77777777" w:rsidR="00531955" w:rsidRDefault="00000000">
      <w:r>
        <w:t>The group risk appetite, including the strategic objectives with regard to reputational risk tolerance, is determined by the Board of Directors by means of an annual review.</w:t>
      </w:r>
    </w:p>
    <w:p w14:paraId="6F4F8B7B" w14:textId="77777777" w:rsidR="00531955" w:rsidRDefault="00000000">
      <w:r>
        <w:t>Proactive and re-active management of reputational risk is the responsibility of Business, supported by specialist units including Group Communication, Investor Relations and Group Compliance.</w:t>
      </w:r>
    </w:p>
    <w:p w14:paraId="59A6E92A" w14:textId="77777777" w:rsidR="00531955" w:rsidRDefault="00000000">
      <w:r>
        <w:t xml:space="preserve">The outcome of the Climate Risk Impact Map shows that, Changing investor, client or community expectations and public scrutiny regarding the financing of sectors or activities </w:t>
      </w:r>
      <w:r>
        <w:lastRenderedPageBreak/>
        <w:t>which are harmful or perceived to be harmful can lead to reputational damage, for example in the form of litigation cases.</w:t>
      </w:r>
    </w:p>
    <w:p w14:paraId="734BD748" w14:textId="77777777" w:rsidR="00531955" w:rsidRDefault="00000000">
      <w:r>
        <w:t>The reputation of a financial institution can also be tarnished by being accused of not having sufficiently ambitious commitments or an inadequate approach to combating climate change.</w:t>
      </w:r>
    </w:p>
    <w:p w14:paraId="3F8EDBFE" w14:textId="77777777" w:rsidR="00531955" w:rsidRDefault="00000000">
      <w:r>
        <w:t>To manage reputational risks, KBC promotes a strong corporate culture that encourages responsible behaviour throughout the entire organisation, including in terms of social and environmental responsibility.</w:t>
      </w:r>
    </w:p>
    <w:p w14:paraId="669A7C42" w14:textId="77777777" w:rsidR="00531955" w:rsidRDefault="00000000">
      <w:r>
        <w:t>In order to fulfil our role in society, we aim to support our clients in the transition towards a low-carbon economy throughout our core activities.</w:t>
      </w:r>
    </w:p>
    <w:p w14:paraId="4F9DD9C6" w14:textId="77777777" w:rsidR="00531955" w:rsidRDefault="00000000">
      <w:r>
        <w:t>This is done in various ways, Our sustainability policies, restrictions and targets define a clear risk playing field with regard to ESG risks.</w:t>
      </w:r>
    </w:p>
    <w:p w14:paraId="75B86D0C" w14:textId="77777777" w:rsidR="00531955" w:rsidRDefault="00000000">
      <w:r>
        <w:t>This programme specifically focuses on KBC’s approach to climate action and other environmental themes, such as biodiversity, water and circularity.</w:t>
      </w:r>
    </w:p>
    <w:p w14:paraId="3F3C69AF" w14:textId="77777777" w:rsidR="00531955" w:rsidRDefault="00000000">
      <w:r>
        <w:t>More information can be found in the ‘Sustainability strategy’ section of the 2023 Sustainability Report.</w:t>
      </w:r>
    </w:p>
    <w:p w14:paraId="0BAF2FE0" w14:textId="77777777" w:rsidR="00531955" w:rsidRDefault="00000000">
      <w:r>
        <w:t>All KBC senior managers have an explicit sustainability objective to increase sustainability awareness and to encourage management to take concrete action in the domain of sustainability including climate policy.</w:t>
      </w:r>
    </w:p>
    <w:p w14:paraId="5ACC5AEC" w14:textId="77777777" w:rsidR="00531955" w:rsidRDefault="00000000">
      <w:r>
        <w:t>At least 10% of the variable remuneration received by senior management depends on the achievement of individual targets related to the implementation of the group’s sustainability strategy.</w:t>
      </w:r>
    </w:p>
    <w:p w14:paraId="6CC8F290" w14:textId="77777777" w:rsidR="00531955" w:rsidRDefault="00000000">
      <w:r>
        <w:t>The non-recurrent results-based bonus KBC pays its employees in Belgium has been partially linked to sustainability targets since 2012.</w:t>
      </w:r>
    </w:p>
    <w:p w14:paraId="740E6E8D" w14:textId="7FDC78C9" w:rsidR="00531955" w:rsidRDefault="00000000">
      <w:r>
        <w:t>In 2023, the targets were linked partly to our direct footprint</w:t>
      </w:r>
      <w:r w:rsidR="00273074">
        <w:t xml:space="preserve"> </w:t>
      </w:r>
      <w:r>
        <w:t>Green Mobility coming to the office using an environmentally friendly means of transport</w:t>
      </w:r>
      <w:r w:rsidR="00273074">
        <w:t xml:space="preserve"> </w:t>
      </w:r>
      <w:r>
        <w:t>but also to employee development training days, digitality and progress management and cybersecurity phishing tests.</w:t>
      </w:r>
    </w:p>
    <w:p w14:paraId="68B41B2B" w14:textId="77777777" w:rsidR="00531955" w:rsidRDefault="00000000">
      <w:r>
        <w:t>Raising awareness and providing training on ESG risk In 2023, we continued our efforts towards creating risk awareness by, following up on new and changing regulations through a Sustainable Finance Legal Working Group.</w:t>
      </w:r>
    </w:p>
    <w:p w14:paraId="60833BE0" w14:textId="77777777" w:rsidR="00531955" w:rsidRDefault="00000000">
      <w:r>
        <w:t>Additionally, it includes a deep dive into KBC’s overall strategy with a focus on such topics as sustainability, responsible behaviour and artificial intelligence.</w:t>
      </w:r>
    </w:p>
    <w:p w14:paraId="259CF8DD" w14:textId="77777777" w:rsidR="00531955" w:rsidRDefault="00000000">
      <w:r>
        <w:t xml:space="preserve">It reflects the impact of transition risk policy and regulation, technology and consumer preferences and physical risk split according to different climate perils drivers on the </w:t>
      </w:r>
      <w:r>
        <w:lastRenderedPageBreak/>
        <w:t>traditional risk types, by distinguishing between different drivers of transition and physical risk, by considering three distinct climate scenarios, for three different time horizons.</w:t>
      </w:r>
    </w:p>
    <w:p w14:paraId="1203ECC3" w14:textId="77777777" w:rsidR="00531955" w:rsidRDefault="00000000">
      <w:r>
        <w:t>Drivers Policy and regulation An increase in carbon and energy prices, carbon taxes, reduction of emission rights, energy efficiency regulation for commercial and residential property.</w:t>
      </w:r>
    </w:p>
    <w:p w14:paraId="3B9EAA57" w14:textId="77777777" w:rsidR="00531955" w:rsidRDefault="00000000">
      <w:r>
        <w:t>For eight carbon-intensive industrial sectors energy, commercial real estate, food production, building and construction, chemicals, transportation and metals and three product lines mortgages, car loans and car leasing, strategic sectoral projects so-called ‘White Papers’ have been set up with a focus on our credit, business, advisory services and insurance activities.</w:t>
      </w:r>
    </w:p>
    <w:p w14:paraId="50F9999B" w14:textId="77777777" w:rsidR="00531955" w:rsidRDefault="00000000">
      <w:r>
        <w:t>The White Papers clearly analyse the challenges and technological developments in each of these sectors and business lines, including the relevant European and local regulations and action plans, relevant physical risks and their impact on KBC's portfolios in terms of climate-related risks and opportunities, which reporting metrics can be used to steer these portfolios, etc.</w:t>
      </w:r>
    </w:p>
    <w:p w14:paraId="1286AC86" w14:textId="77777777" w:rsidR="00531955" w:rsidRDefault="00000000">
      <w:r>
        <w:t>As energy efficiency considerations are increasingly being factored into house prices, energy-inefficient houses may decrease in value or increase more slowly.</w:t>
      </w:r>
    </w:p>
    <w:p w14:paraId="539542A8" w14:textId="77777777" w:rsidR="00531955" w:rsidRDefault="00000000">
      <w:r>
        <w:t>The timing and severity of transition risks and physical risks i.</w:t>
      </w:r>
    </w:p>
    <w:p w14:paraId="202B06CB" w14:textId="77777777" w:rsidR="00531955" w:rsidRDefault="00000000">
      <w:r>
        <w:t>The ‘climate pathway’ depend mainly on government and policy action.</w:t>
      </w:r>
    </w:p>
    <w:p w14:paraId="2DB05278" w14:textId="77777777" w:rsidR="00531955" w:rsidRDefault="00000000">
      <w:r>
        <w:t>Aligning with NGFS scenarios ensures assumptions are aligned with the industry standards and facilitate a comparison between the impact map and other internal and external climaterisk-related exercises.</w:t>
      </w:r>
    </w:p>
    <w:p w14:paraId="60588C53" w14:textId="51C79D8C" w:rsidR="00531955" w:rsidRDefault="00000000">
      <w:r>
        <w:t>Each scenario contains different assumptions regarding the timing and impact of various physical and transition risk drivers, Risk Report 2023 KBC Group 137 Net Zero 2050 Orderly scenario, in this scenario, there is early and decisive action to reduce global emissions in a gradual way, with clearly signposted government policies implemented relatively smoothly.</w:t>
      </w:r>
    </w:p>
    <w:p w14:paraId="400C37F9" w14:textId="77777777" w:rsidR="00531955" w:rsidRDefault="00000000">
      <w:r>
        <w:t>In this scenario, physical risks increase more than in the Net Zero 2050 scenario and transition risks are severe.</w:t>
      </w:r>
    </w:p>
    <w:p w14:paraId="2FCC33E9" w14:textId="77777777" w:rsidR="00531955" w:rsidRDefault="00000000">
      <w:r>
        <w:t>EIOPA’s core responsibilities are to support the stability of the financial system, transparency of markets and financial products, as well as the protection of insurance policyholders, pension scheme members and beneficiaries.</w:t>
      </w:r>
    </w:p>
    <w:p w14:paraId="47F02D10" w14:textId="77777777" w:rsidR="00531955" w:rsidRDefault="00000000">
      <w:r>
        <w:t>It is responsible for supervising the financial markets and listed companies, authorising and supervising certain categories of financial institutions, overseeing compliance by financial intermediaries with codes of conduct and supervising the marketing of investment products to the general public, as well as for the ‘social supervision’ of supplementary pensions.</w:t>
      </w:r>
    </w:p>
    <w:p w14:paraId="63FD9A39" w14:textId="77777777" w:rsidR="00531955" w:rsidRDefault="00000000">
      <w:r>
        <w:lastRenderedPageBreak/>
        <w:t>Risk appetite Risk appetite, as defined by the Board of Directors, is the amount and type of risk that KBC is able and willing to accept in pursuit of its strategic objectives.</w:t>
      </w:r>
    </w:p>
    <w:p w14:paraId="13126DA1" w14:textId="77777777" w:rsidR="00531955" w:rsidRDefault="00000000">
      <w:r>
        <w:t>Solvency II Solvency II is a project, initiated by the European Commission in 2001, which establishes capital requirements and risk management standards that will apply across the EU and will affect all areas of an insurer’s operations.</w:t>
      </w:r>
    </w:p>
    <w:sectPr w:rsidR="005319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747113550">
    <w:abstractNumId w:val="8"/>
  </w:num>
  <w:num w:numId="2" w16cid:durableId="520977573">
    <w:abstractNumId w:val="6"/>
  </w:num>
  <w:num w:numId="3" w16cid:durableId="392125390">
    <w:abstractNumId w:val="5"/>
  </w:num>
  <w:num w:numId="4" w16cid:durableId="1586305839">
    <w:abstractNumId w:val="4"/>
  </w:num>
  <w:num w:numId="5" w16cid:durableId="1304504943">
    <w:abstractNumId w:val="7"/>
  </w:num>
  <w:num w:numId="6" w16cid:durableId="133834794">
    <w:abstractNumId w:val="3"/>
  </w:num>
  <w:num w:numId="7" w16cid:durableId="1467426851">
    <w:abstractNumId w:val="2"/>
  </w:num>
  <w:num w:numId="8" w16cid:durableId="527762882">
    <w:abstractNumId w:val="1"/>
  </w:num>
  <w:num w:numId="9" w16cid:durableId="18594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8B"/>
    <w:rsid w:val="00034616"/>
    <w:rsid w:val="0006063C"/>
    <w:rsid w:val="000B0056"/>
    <w:rsid w:val="000D16B7"/>
    <w:rsid w:val="0015074B"/>
    <w:rsid w:val="0019260A"/>
    <w:rsid w:val="00273074"/>
    <w:rsid w:val="0029639D"/>
    <w:rsid w:val="002C2DD5"/>
    <w:rsid w:val="002C6E97"/>
    <w:rsid w:val="00326F90"/>
    <w:rsid w:val="003A7D7D"/>
    <w:rsid w:val="004D2216"/>
    <w:rsid w:val="00531955"/>
    <w:rsid w:val="00542974"/>
    <w:rsid w:val="00605A2C"/>
    <w:rsid w:val="00654E3C"/>
    <w:rsid w:val="006B6C45"/>
    <w:rsid w:val="0085302A"/>
    <w:rsid w:val="00970760"/>
    <w:rsid w:val="00987C5B"/>
    <w:rsid w:val="00A52C65"/>
    <w:rsid w:val="00A57B69"/>
    <w:rsid w:val="00AA1D8D"/>
    <w:rsid w:val="00AB0866"/>
    <w:rsid w:val="00B47730"/>
    <w:rsid w:val="00BB28DE"/>
    <w:rsid w:val="00C20A89"/>
    <w:rsid w:val="00C32DA7"/>
    <w:rsid w:val="00CB0664"/>
    <w:rsid w:val="00D376ED"/>
    <w:rsid w:val="00E95072"/>
    <w:rsid w:val="00F411FC"/>
    <w:rsid w:val="00FC693F"/>
    <w:rsid w:val="00FE49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268A5"/>
  <w14:defaultImageDpi w14:val="300"/>
  <w15:docId w15:val="{54F07462-F3FE-C148-8CD9-D3D33A33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8396</Words>
  <Characters>47862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26</cp:revision>
  <dcterms:created xsi:type="dcterms:W3CDTF">2013-12-23T23:15:00Z</dcterms:created>
  <dcterms:modified xsi:type="dcterms:W3CDTF">2025-07-28T10:14:00Z</dcterms:modified>
  <cp:category/>
</cp:coreProperties>
</file>