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With these disclosure templates, the regulatory authorities aim to reinforce market discipline by increasing the consistency and comparability of institutions’ public disclosures on the one hand and to achieve data transparency and reconciliation between external reporting, such as the Pillar 3 disclosures, and supervisory reporting based on FINREP and COREP data on the other hand.</w:t>
      </w:r>
    </w:p>
    <w:p>
      <w:r>
        <w:t>Although the disclosures mostly refer to the Basel III first-pillar risk metrics and focus on banking entities, KBC – as a bankinsurance company – has decided to extend the scope of the KBC Risk Report to include its insurance activities as well in order to provide an overall view of the KBC Group’s risk exposure and risk management activities.</w:t>
      </w:r>
    </w:p>
    <w:p>
      <w:r>
        <w:t>However, the disclosures have been checked for consistency with other existing internal and/or external reporting and underwent a final screening by authorised risk management representatives to ensure quality.</w:t>
      </w:r>
    </w:p>
    <w:p>
      <w:r>
        <w:t>The risk function operates independently, adequately and effectively, in line with KBC’s Corporate Strategy and therefore contributes to the achievement of KBC’s strategic objectives in terms of resilience, agility and sustainability.</w:t>
      </w:r>
    </w:p>
    <w:p>
      <w:r>
        <w:t>Balanced incentives, including in our remuneration, performance and talent management tools, properly dealing with misconduct, breaches of risk appetite and non-compliance with applicable law and regulations, and supportive of remediation of audit and supervisory findings.</w:t>
      </w:r>
    </w:p>
    <w:p>
      <w:r>
        <w:t>KBC’s Board members thoroughly discuss the Risk Appetite Statement, reflecting the amount of risk they are willing to accept in pursuing KBC’s strategic objectives.</w:t>
      </w:r>
    </w:p>
    <w:p>
      <w:r>
        <w:t>KBC strengthens its risk culture by communicating the risk appetite throughout the organisation in a way that is understandable for all stakeholders, to ensure that the risk mindset becomes part of our staff’s DNA.</w:t>
      </w:r>
    </w:p>
    <w:p>
      <w:r>
        <w:t>These constructive challenges are also reflected in the meeting minutes of, for example, the Board of Directors, the Risk &amp; Compliance Committee and the Audit Committee.</w:t>
      </w:r>
    </w:p>
    <w:p>
      <w:r>
        <w:t>Clear governance, including well-defined roles and responsibilities and observance of the three Lines of Defence model see ‘Risk management &amp; governance’, support our staff in assuming their accountability for risks, KBC’s internal governance framework defines who is responsible for taking and managing risks and ensures that risks are properly managed, monitored, mitigated, escalated and reflected in KBC’s strategic plans and risk appetite.</w:t>
      </w:r>
    </w:p>
    <w:p>
      <w:r>
        <w:t>KBC also regularly organises awareness campaigns for its staff and clients, for example on responsible behaviour when dealing with suspicious counterparties to avoid cyber incidents, or on responsible climate-related behaviour.</w:t>
      </w:r>
    </w:p>
    <w:p>
      <w:r>
        <w:t>This means that the remuneration policies also reflect and promote a positive risk culture throughout the entire KBC Group.</w:t>
      </w:r>
    </w:p>
    <w:p>
      <w:r>
        <w:t>Risk management refers to the coordinated set of activities to proactively identify and manage the many risks that can affect KBC in its ability to achieve its objectives.</w:t>
      </w:r>
    </w:p>
    <w:p>
      <w:r>
        <w:t>More information about the content of the ERMF and its components are outlined in the ‘Risk management &amp; governance’ section.</w:t>
      </w:r>
    </w:p>
    <w:p>
      <w:r>
        <w:t>As such, we do not regard ESG risks as stand-alone risk types but embed them in our existing risk management frameworks and processes.</w:t>
      </w:r>
    </w:p>
    <w:p>
      <w:r>
        <w:t>Priorities for risk management are defined in the KBC Risk Strategy.</w:t>
      </w:r>
    </w:p>
    <w:p>
      <w:r>
        <w:t>This strategy finds its origin in the KBC Risk Appetite, the Corporate Strategy and the PEARL culture and sets the bar for risk management throughout KBC.</w:t>
      </w:r>
    </w:p>
    <w:p>
      <w:r>
        <w:t>The strategy of the risk, compliance and actuarial functions is based on three key pillars, 1.</w:t>
      </w:r>
    </w:p>
    <w:p>
      <w:r>
        <w:t>Moreover, we extend and improve our risk and compliance framework for an increasingly digital, interconnected and sustainable future.</w:t>
      </w:r>
    </w:p>
    <w:p>
      <w:r>
        <w:t>It is also accountable for having robust governance arrangements in place to ensure that all material risks of KBC are managed appropriately, and for promoting a sound, consistent group-wide risk culture.</w:t>
      </w:r>
    </w:p>
    <w:p>
      <w:r>
        <w:t>Risk departments at group Group Risk, Group Credit Risk Directorate and Model &amp; Model Risk Management Division and local level present in the main entities in our home countries support the CROs and work closely together.</w:t>
      </w:r>
    </w:p>
    <w:p>
      <w:r>
        <w:t>The compliance function is characterised by its specific status as provided for by law and regulations and described in the Compliance Charter, its place in the organisation chart Group Compliance, hierarchically under the CRO and the associated reporting lines reporting to the RCC and even to the Board in certain cases.</w:t>
      </w:r>
    </w:p>
    <w:p>
      <w:r>
        <w:t>It is responsible for giving reasonable assurance to the Board that the overall internal control environment is effective, and that effective policies and processes are in place and applied consistently throughout the group.</w:t>
      </w:r>
    </w:p>
    <w:p>
      <w:r>
        <w:t>Banks are required to maintain an internal governance and control framework that ensures a well-functioning internal risk management.</w:t>
      </w:r>
    </w:p>
    <w:p>
      <w:r>
        <w:t>For the audit function, this assessment is undertaken by the Audit Committee.</w:t>
      </w:r>
    </w:p>
    <w:p>
      <w:r>
        <w:t>The 2024 iteration of the exercise confirmed again that, overall, the risk, compliance and actuarial functions have sufficient capacity and the right skills to perform sound risk management.</w:t>
      </w:r>
    </w:p>
    <w:p>
      <w:r>
        <w:t>A comprehensive employee skill management programme is in place and a significant focus on training and skills development ensures continuous development of expertise.</w:t>
      </w:r>
    </w:p>
    <w:p>
      <w:r>
        <w:t>It refers to a set of minimum standards and risk methods, processes and tools that must be translated into all risk-type-specific Risk Management Frameworks RMFs and that all entities must adhere to.</w:t>
      </w:r>
    </w:p>
    <w:p>
      <w:r>
        <w:t>This is done with the help of risk measures, which allow us to assess the materiality of risks, to monitor them over time with a frequency that is appropriate for the risk type and to assess the impact of risk management actions.</w:t>
      </w:r>
    </w:p>
    <w:p>
      <w:r>
        <w:t>An overview of the extensive set of risk measures in use at KBC both regulatory and internally defined is provided in the ERMF and risk-typespecific frameworks.</w:t>
      </w:r>
    </w:p>
    <w:p>
      <w:r>
        <w:t>In order to ensure that risk measures are and remain fit for use and are of high quality, they are subject to strict and robust processes, including adequate documentation and strong governance.</w:t>
      </w:r>
    </w:p>
    <w:p>
      <w:r>
        <w:t>The business requirements with regard to the organisation, processes and policies necessary for achieving and maintaining data quality in a structured and efficient way are described in a specific Enterprise Data Governance Framework and accompanying – and stricter – KBC Data Governance Framework on Management Reporting, owned by KBC’s Group Reporting Services department.</w:t>
      </w:r>
    </w:p>
    <w:p>
      <w:r>
        <w:t>KBC’s Model Risk Management Standards establish a framework for identifying, understanding and efficiently managing model risk, similarly to any other risk type.</w:t>
      </w:r>
    </w:p>
    <w:p>
      <w:r>
        <w:t>The RAS reflects the view of the Board and ExCo on the acceptable level and composition of risks, ensuring coherence with the desired return and allowing the group to implement its corporate strategy within a clear risk playing field.</w:t>
      </w:r>
    </w:p>
    <w:p>
      <w:r>
        <w:t>The high-level risk appetite objectives, which are annually reviewed and reconfirmed by the Board, are further detailed for each separate risk type via qualitative and quantitative statements and via a risk appetite label, which can be Low, Medium or High, based on a set of risk measures for which risk thresholds are defined.</w:t>
      </w:r>
    </w:p>
    <w:p>
      <w:r>
        <w:t>The overarching risk profile is expected to improve within the ‘medium risk’ zone, driven by lower risk profiles for financial performance, operational risk and compliance risk, which compensate an expected increase in the credit and market trading risk profiles.</w:t>
      </w:r>
    </w:p>
    <w:p>
      <w:r>
        <w:t>Schematic overview of the risk appetite statement Risk analysis and reporting aim to give management an increased level of transparency by ensuring a comprehensive, forward-looking and ex-post view of the development of the risk profile versus the risk appetite and of the context in which KBC operates.</w:t>
      </w:r>
    </w:p>
    <w:p>
      <w:r>
        <w:t>This holistic risk report consists of risk signals considered material for the group, allowing us to take timely action if and as needed, and of an overview, for all risk types, of the development of various risk measures versus the risk appetite via the ‘health check’ dashboard.</w:t>
      </w:r>
    </w:p>
    <w:p>
      <w:r>
        <w:t>For instance, twice a year, it is supplemented with a detailed climate risk dashboard and an information risk management dashboard.</w:t>
      </w:r>
    </w:p>
    <w:p>
      <w:r>
        <w:t>On top of the above, dedicated memos on a wide variety of topics are regularly brought to the attention of the ExCo, Board and RCC, such as deep dives and risk-type-specific reports.</w:t>
      </w:r>
    </w:p>
    <w:p>
      <w:r>
        <w:t>Stress testing is an important tool to support our risk management and decision-making processes by simulating the potential negative impact of specific events and/or movements in risk factors on KBC’s financial condition, so that we can better prepare for these situations or adjust our risk exposure proactively.</w:t>
      </w:r>
    </w:p>
    <w:p>
      <w:r>
        <w:t>As part of the annual ICAAP, ILAAP and ORSA processes, KBC simulates a once-in-20-years stress event to check and demonstrate that it is able to meet the regulatory capital and liquidity requirements and internal risk appetite targets even under such stressed conditions.</w:t>
      </w:r>
    </w:p>
    <w:p>
      <w:r>
        <w:t>KBC aims to support the transition to a more sustainable and climate-resilient society now and in the future, working together with its clients and other stakeholders.</w:t>
      </w:r>
    </w:p>
    <w:p>
      <w:r>
        <w:t>For this reason, sustainability is an integral part of the KBC Corporate Strategy, embedded in our day-to-day business activities and the products and services we offer.</w:t>
      </w:r>
    </w:p>
    <w:p>
      <w:r>
        <w:t>Our strategy seeks to safeguard our business whilst preparing ourselves for the evolving regulatory context, the geopolitical context and macroeconomic changes, rapidly changing technologies, societal changes, shifts in client behaviour, also in case these are triggered by sustainability evolutions.</w:t>
      </w:r>
    </w:p>
    <w:p>
      <w:r>
        <w:t>We approach Sustainable Finance from a ‘double-materiality’ perspective.</w:t>
      </w:r>
    </w:p>
    <w:p>
      <w:r>
        <w:t>This means that we are committed to managing both KBC’s impact on the environment and the impact of environmental issues on our company, Financial materiality outside-in view, we want to manage the impact of environmental issues on our company.</w:t>
      </w:r>
    </w:p>
    <w:p>
      <w:r>
        <w:t>By means of our dedicated Sustainable Finance Programme – which is embedded in our sustainability strategy – we focus on limiting our adverse impact and increasing our positive impact by, incorporating environment-related opportunities into our core products, such as bonds, loans, investments and insurance contracts, as much as possible.</w:t>
      </w:r>
    </w:p>
    <w:p>
      <w:r>
        <w:t>Over the years, we have been expanding the focus of our Sustainable Finance Programme from climate change to other environmental objectives.</w:t>
      </w:r>
    </w:p>
    <w:p>
      <w:r>
        <w:t>A comprehensive overview of the actions we take as part of our commitment to the environment and our social impact is available in the ‘Sustainable Finance’ section of the 2024 KBC Sustainability Report, which also includes our TCFD Task Force on Climate-related Financial Disclosures report.</w:t>
      </w:r>
    </w:p>
    <w:p>
      <w:r>
        <w:t>In the remainder of this section, we focus on the ‘Risk Management’ pillar of the TCFD/TNFD framework.</w:t>
      </w:r>
    </w:p>
    <w:p>
      <w:r>
        <w:t>When managing ESG risks, we also consider the ‘double-materiality’ perspective, Financial materiality outside-in view, transition risks, for example, can lead to sudden repricing of assets, market volatility, credit losses and sustainability-related litigation resulting from financing obsolete brown technology or infrastructure, impacting lending and investment portfolios, whereas physical risk can increase the level of claims under the insurance policies we provide as well as the value of our assets or collateral.</w:t>
      </w:r>
    </w:p>
    <w:p>
      <w:r>
        <w:t>Furthermore, cyber risk, process and third-party risk, people risk, and compliance and conduct risk have been top of mind in this exercise for several years and cover several social and governance risk-related aspects.</w:t>
      </w:r>
    </w:p>
    <w:p>
      <w:r>
        <w:t>The growing attention for the management of ESG risks is also reflected in several legislative initiatives, The newly proposed EU Banking Package CRD6 and CRR3 sets out new regulatory requirements on how banks manage their ESG risks.</w:t>
      </w:r>
    </w:p>
    <w:p>
      <w:r>
        <w:t>When integrating ESG risks in all existing risk management processes, KBC aims for full compliance with current and upcoming regulatory requirements and supervisory expectations.</w:t>
      </w:r>
    </w:p>
    <w:p>
      <w:r>
        <w:t>As such, ESG is not considered in isolation, but firmly embedded in all aspects and areas of KBC’s Enterprise Risk Management Framework and underlying processes , for example in the New and Active Products Process , in outsourcing processes, and in lending, insurance and investment processes.</w:t>
      </w:r>
    </w:p>
    <w:p>
      <w:r>
        <w:t>We are advancing our practices by taking a step-by-step approach where follow-up actions are defined based on the insights gained from our previous actions/analyses and depending on, for example, the availability of data and methodologies and further regulatory developments.</w:t>
      </w:r>
    </w:p>
    <w:p>
      <w:r>
        <w:t>For a more detailed overview of our ESG risk management processes of relevance to specific risk types, please refer to the risk-type-specific disclosures in the remainder of this report, which includes a dedicated ESG risk sub-section.</w:t>
      </w:r>
    </w:p>
    <w:p>
      <w:r>
        <w:t>Our sustainability strategy and related opportunities are discussed more thoroughly in the 2024 KBC Sustainability Report, which also includes an overview of the commitments we have made and the international frameworks we adhere to.</w:t>
      </w:r>
    </w:p>
    <w:p>
      <w:r>
        <w:t>Sustainability has been integrated into the remuneration systems for our employees and especially our top management see Annex III.</w:t>
      </w:r>
    </w:p>
    <w:p>
      <w:r>
        <w:t>We continue to take several initiatives to further increase ESG risk awareness, for example by following up on new and changing regulations through a Sustainable Finance Legal Working Group and by organising internal communication and training for risk staff and management see Annex III.</w:t>
      </w:r>
    </w:p>
    <w:p>
      <w:r>
        <w:t>When developing our ESG risk management approach, we incorporate steps to address specific challenges that are inherent to the assessment of ESG risks.</w:t>
      </w:r>
    </w:p>
    <w:p>
      <w:r>
        <w:t>Given that the materialisation of environmental risks builds up over an extended period with transition risks dominating in the short and medium terms and potential severe physical hazards occurring more frequently in the longer term, we have adjusted our risk processes to make sure that, in addition to the more traditional short-term impacts, medium and long-term considerations are also integrated into risk identification, risk appetite, stress testing and risk reporting.</w:t>
      </w:r>
    </w:p>
    <w:p>
      <w:r>
        <w:t>In order to deal with this uncertainty in our environmental risk assessments, we consider a range of climate scenarios making specific assumptions on technological and policy changes and translating these into impacts on, for example, energy production, greenhouse gas emissions, oil consumption, etc.</w:t>
      </w:r>
    </w:p>
    <w:p>
      <w:r>
        <w:t>Furthermore, when assessing potential impacts of social and governance risks, we take a forward-looking approach by considering social trends and/or events that could manifest over different time horizons.</w:t>
      </w:r>
    </w:p>
    <w:p>
      <w:r>
        <w:t>To ensure proactive risk identification, several processes are in place, Via our Environmental Risk Impact Map we structurally identify environmental risks climate change, nature loss, pollution, water stress and non-circularity.</w:t>
      </w:r>
    </w:p>
    <w:p>
      <w:r>
        <w:t>To detect environmental, social and governance risks, we have developed a specific due diligence process to monitor compliance of our lending, insurance activities and advisory services with our sustainability framework.</w:t>
      </w:r>
    </w:p>
    <w:p>
      <w:r>
        <w:t>Client dialogue is an essential part of KBC’s lending, insurance, advisory services and investments to better understand how our business clients already deal or plan to deal with sustainability challenges and to support them in this transition.</w:t>
      </w:r>
    </w:p>
    <w:p>
      <w:r>
        <w:t>These are commonly known as the ‘White Papers’ in which we assess different environmental challenges for the eight emission-intensive sectors and three product lines with the largest environmental impact, considering the specific context of our home countries.</w:t>
      </w:r>
    </w:p>
    <w:p>
      <w:r>
        <w:t>More information on our approach and the outcome can be found in the KBC Sustainability Report.</w:t>
      </w:r>
    </w:p>
    <w:p>
      <w:r>
        <w:t>While the initial focus was on climate risk, we extended the scope with nature loss and other environmental risks such as pollution, water stress and non-circular economy.</w:t>
      </w:r>
    </w:p>
    <w:p>
      <w:r>
        <w:t>High-level results are included below and in Annex III, and an overview of the most material environmental risk-related vulnerabilities and their potential impacts on the traditional risk types is provided in the dedicated ESG sections in the remainder of this report.</w:t>
      </w:r>
    </w:p>
    <w:p>
      <w:r>
        <w:t>The conclusions of the Environmental Risk Impact Map feed into our main risk management processes, such as risk appetite, stress testing, internal and external reporting and our ICAAP/ILAAP/ORSA process.</w:t>
      </w:r>
    </w:p>
    <w:p>
      <w:r>
        <w:t>It also lies at the basis of the determination of material environmental risks in the context of the Double Materiality Assessment, being part of the disclosures under the Corporate Sustainability Reporting Directive .</w:t>
      </w:r>
    </w:p>
    <w:p>
      <w:r>
        <w:t>In that same context Financial Materiality Assessment for CSRD, a first dedicated materiality assessment for social and governance risks was executed in 2024.</w:t>
      </w:r>
    </w:p>
    <w:p>
      <w:r>
        <w:t>As a follow-up step, a more structural risk identification and materiality assessment for social risks is being developed, also with the aim to integrate its conclusions into the different building blocks of KBC’s Risk Management Framework and CSRD reporting.</w:t>
      </w:r>
    </w:p>
    <w:p>
      <w:r>
        <w:t>Environmental risks The most material environmental risks are expected through our lending, insurance and investment activities.</w:t>
      </w:r>
    </w:p>
    <w:p>
      <w:r>
        <w:t>Climate risk, transition risks can lead to sudden repricing of assets, market volatility, and climate litigation resulting from financing obsolete brown technology or infrastructure, impacting lending and investment portfolios, whereas physical risk can significantly increase the level of claims under the insurance policies we provide as well as impact the value of our assets or collateral over the medium and long term.</w:t>
      </w:r>
    </w:p>
    <w:p>
      <w:r>
        <w:t>Social risks Privacy of our own workforce, reputational and litigation risks could arise when the privacy of the employees would not be respected or when employee data would leak as the result of a cyberattack.</w:t>
      </w:r>
    </w:p>
    <w:p>
      <w:r>
        <w:t>Relationships with suppliers, operational and compliance risks can emerge in case the relationships with our suppliers would be damaged by – for example – inadequate payment practices or when KBC would engage/contract suppliers involved in corruption and bribery.</w:t>
      </w:r>
    </w:p>
    <w:p>
      <w:r>
        <w:t>To ensure responsible product development within KBC, no product, process or service can be created, purchased, changed or sold without review in line with NAPP governance.</w:t>
      </w:r>
    </w:p>
    <w:p>
      <w:r>
        <w:t>Particular attention is paid to the adequate ‘green’ labelling of newly developed products, aligned with regulatory frameworks such as the EU Taxonomy and the ICMA Green Bond framework.</w:t>
      </w:r>
    </w:p>
    <w:p>
      <w:r>
        <w:t>As part of the mandatory risk and compliance advice within NAPP, several other ESG risks are assessed by the risk and compliance function such as risks related to data protection and conformity with GDPR, ethical considerations including non-discrimination of client groups, social inclusion, anti-money laundering and fraud, the use of models including AI models and information security.</w:t>
      </w:r>
    </w:p>
    <w:p>
      <w:r>
        <w:t>In doing so, we leverage industry practices such as the Partnership for Carbon Accounting Financials and the Paris Agreement Capital Transition Assessment and we have also developed internal tools and methodologies.</w:t>
      </w:r>
    </w:p>
    <w:p>
      <w:r>
        <w:t>Furthermore, in the context of credit risk, we estimate the impact of climate change transition on credit parameters.</w:t>
      </w:r>
    </w:p>
    <w:p>
      <w:r>
        <w:t>The results of these exercises provide further insights into the impact of climate change on our business model, as well as the impact of our lending, investment and insurance activities on the environment double materiality.</w:t>
      </w:r>
    </w:p>
    <w:p>
      <w:r>
        <w:t>This enables us to take additional steps to advance our risk management processes and practices.</w:t>
      </w:r>
    </w:p>
    <w:p>
      <w:r>
        <w:t>ESG-related stress testing exercises and the use of ESG scenarios are continuously enhanced following new insights from, for instance, our Environmental Risk Impact Map or other methodological tracks.</w:t>
      </w:r>
    </w:p>
    <w:p>
      <w:r>
        <w:t>In tandem, KBC continues to make significant efforts to enhance data availability which will further enable accurate quantification of the climate and other ESG risks we are exposed to.</w:t>
      </w:r>
    </w:p>
    <w:p>
      <w:r>
        <w:t>Since 2022, climate-related data is managed via KBC’s dedicated Data &amp; Metrics Programme and its Steering Committee.</w:t>
      </w:r>
    </w:p>
    <w:p>
      <w:r>
        <w:t>Significant efforts have already been made to structurally gather key sustainability data such as clients’ GHG emission and location data and energy performance data for collateral, and to develop proxies in case of unavailability.</w:t>
      </w:r>
    </w:p>
    <w:p>
      <w:r>
        <w:t>These include, championing a strong corporate culture which encourages responsible behaviour and is supported by a promotion and remuneration policy with a sustainable and long-term view.</w:t>
      </w:r>
    </w:p>
    <w:p>
      <w:r>
        <w:t>When integrating climate-related and other ESG risks into our risk appetite process, we not only focus on short-term impacts, but also take extended time horizons into consideration.</w:t>
      </w:r>
    </w:p>
    <w:p>
      <w:r>
        <w:t>In our yearly financial planning exercise, climate evolutions are included in the economic scenarios which form the basis of our budgeting cycle, we follow up on climate-related volumes and targets and the expected impact of climate-related risks on the risk profile is considered.</w:t>
      </w:r>
    </w:p>
    <w:p>
      <w:r>
        <w:t>KBC Group is committed to embedding ESG considerations in its decision-making, risk management processes and client and third-party interactions, with the aim of contributing positively to society and safeguarding KBC’s long-term sustainability.</w:t>
      </w:r>
    </w:p>
    <w:p>
      <w:r>
        <w:t>The KBC Group Sustainability Policy Framework gives a comprehensive overview of our sustainability policies and how they are applied in our various activities.</w:t>
      </w:r>
    </w:p>
    <w:p>
      <w:r>
        <w:t>The UN Global Compact asks companies to embrace, support and, within their sphere of influence, enact a set of core values in the areas of human rights, labour standards, the environment and combating corruption.</w:t>
      </w:r>
    </w:p>
    <w:p>
      <w:r>
        <w:t>Being part of the Sustainability Policy Framework, our sustainability policies which you can learn more about at this link clearly define the ESG risk playing field for credit, insurance, advisory services and investments asset management and proprietary investments as well as supporting activities such as procurement.</w:t>
      </w:r>
    </w:p>
    <w:p>
      <w:r>
        <w:t>Where relevant and applicable, the group-wide sustainability policies are leveraged when developing risk-related standards, such as the Credit Risk Standards on Sustainable and Responsible Lending.</w:t>
      </w:r>
    </w:p>
    <w:p>
      <w:r>
        <w:t>More information can be found in the ‘Our sustainability policies’ section of the 2024 KBC Sustainability Report and in the KBC Group Sustainability Policy Framework, both of which are available on the KBC website.</w:t>
      </w:r>
    </w:p>
    <w:p>
      <w:r>
        <w:t>Our policy on biodiversity excludes or restricts activities impacting forests, protected areas and endangered species, fisheries, mining, intensive cattle farming, and certain high-impact commodities such as palm oil, soy, sugarcane, coffee and cocoa.</w:t>
      </w:r>
    </w:p>
    <w:p>
      <w:r>
        <w:t>More information about our decarbonisation targets can be found in the KBC Sustainability Report.</w:t>
      </w:r>
    </w:p>
    <w:p>
      <w:r>
        <w:t>Within our annual financial planning cycle, we focus on the development of new products that provide sustainable solutions, giving priority to energy, real estate, mobility and agriculture.</w:t>
      </w:r>
    </w:p>
    <w:p>
      <w:r>
        <w:t>In addition to the above-mentioned bans, zero tolerances and targets, we have introduced a set of climaterelated Key Risk Indicators KRIs into our risk appetite process.</w:t>
      </w:r>
    </w:p>
    <w:p>
      <w:r>
        <w:t>These are defined for the most material transition and physical risks as identified in the Environmental Risk Impact Map, covering a large part of KBC’s activities and portfolios.</w:t>
      </w:r>
    </w:p>
    <w:p>
      <w:r>
        <w:t>Via the KBC Sustainability Dashboard presented to the Board twice a year, we monitor progress in the implementation of our sustainability strategy and make adjustments when necessary.</w:t>
      </w:r>
    </w:p>
    <w:p>
      <w:r>
        <w:t>Among others things, indicators for climate-related risks and opportunities, climate-related target setting, female entrepreneurship, skill sets and responsible behaviour are integrated in the Dashboard.</w:t>
      </w:r>
    </w:p>
    <w:p>
      <w:r>
        <w:t>We refer to the risk-type-specific sections for more information on, for example, the Sectoral E&amp;S risk Portfolio Report for our industrial loan portfolio or dedicated monitoring and reporting of the climate KRIs via several risk-type-specific reports.</w:t>
      </w:r>
    </w:p>
    <w:p>
      <w:r>
        <w:t>Several externally published reports describe KBC’s approach to sustainability, all with different focus points.</w:t>
      </w:r>
    </w:p>
    <w:p>
      <w:r>
        <w:t>The KBC Risk Report the document at hand specifically focuses on how we integrate ESG risks into our risk management processes and frameworks, adhering to the EBA’s disclosure requirements on ESG risks.</w:t>
      </w:r>
    </w:p>
    <w:p>
      <w:r>
        <w:t>The report details how we address corporate sustainability and how we implement our sustainability strategy and Sustainable Finance Programme.</w:t>
      </w:r>
    </w:p>
    <w:p>
      <w:r>
        <w:t>It also describes the policies and guidelines we observe, the targets including decarbonisation targets we have set and our main achievements.</w:t>
      </w:r>
    </w:p>
    <w:p>
      <w:r>
        <w:t>This statement includes an overview of our sustainability strategy, sustainability governance and how we manage our material impacts, risks and opportunities, as identified in a Double Materiality Assessment.</w:t>
      </w:r>
    </w:p>
    <w:p>
      <w:r>
        <w:t>In 2024, CDP confirmed KBC’s position as a sustainability leader in terms of its climate performance with an A rating and inclusion on CDP’s A List.</w:t>
      </w:r>
    </w:p>
    <w:p>
      <w:r>
        <w:t>Since 31 December 2021, the fully loaded figures immediately reflect the interim or annual profit, taking into account our dividend policy and/or any dividend proposal and/or decision by the Board of Directors.</w:t>
      </w:r>
    </w:p>
    <w:p>
      <w:r>
        <w:t>As a result of its supervisory review and evaluation process , the competent supervisory authority in KBC’s case, the ECB can require that higher minimum ratios be maintained = pillar 2 requirements because, for instance, not all risks are properly reflected in the regulatory calculations.</w:t>
      </w:r>
    </w:p>
    <w:p>
      <w:r>
        <w:t>It aims to achieve the best possible balance between regulatory requirements, rating agencies’ views, market expectations and management ambitions.</w:t>
      </w:r>
    </w:p>
    <w:p>
      <w:r>
        <w:t>The table below provides an overview of KBC’s buffers compared to these thresholds, both on a transitional basis i.</w:t>
      </w:r>
    </w:p>
    <w:p>
      <w:r>
        <w:t>Transitional figures relative to the regulatory targets that apply on the reporting date and on a fully loaded basis i.</w:t>
      </w:r>
    </w:p>
    <w:p>
      <w:r>
        <w:t>Fully loaded figures relative to the regulatory targets that will apply going forward.</w:t>
      </w:r>
    </w:p>
    <w:p>
      <w:r>
        <w:t>At the end of December 2024, the fully loaded leverage ratio decreased compared to December 2023, due to higher total assets, mainly driven by a large increase in cash and cash balances with central banks and to a lesser extent higher customer loans, only partially offset by also higher Tier 1 capital mainly driven by the inclusion of 2024 profits.</w:t>
      </w:r>
    </w:p>
    <w:p>
      <w:r>
        <w:t>They are complemented by a framework for assessing earnings that aims to reveal vulnerabilities in terms of the longer-term sustainability of our business model, and by a balanced mix of stress tests see below.</w:t>
      </w:r>
    </w:p>
    <w:p>
      <w:r>
        <w:t>These reports allow the Board to make a statement on the ability of the group and its entities to maintain adequate capitalisation going forward in view of the corporate strategy and business model, the effectiveness of KBC’s risk and control environment, its governance and risk culture, and the current and expected development of KBC’s risk profile under various scenarios.</w:t>
      </w:r>
    </w:p>
    <w:p>
      <w:r>
        <w:t>As such, stress testing is an integral part of our risk management framework, and an important building block of our ICAAP and ORSA.</w:t>
      </w:r>
    </w:p>
    <w:p>
      <w:r>
        <w:t>The resulting capital ratios are compared to internal and regulatory capital targets.</w:t>
      </w:r>
    </w:p>
    <w:p>
      <w:r>
        <w:t>These scenarios focus on events that lead to a breach of the regulatory capital requirements.</w:t>
      </w:r>
    </w:p>
    <w:p>
      <w:r>
        <w:t>Our credit products are varied in type and structure as they are tailored to suit the needs of our clients, the prevailing legal context, the risk profile of the transaction and the sustainability objectives that we have committed to.</w:t>
      </w:r>
    </w:p>
    <w:p>
      <w:r>
        <w:t>KBC manages the risks associated with credit-granting activities through a robust Credit Risk Management Framework, the implementation of various risk-mitigating measures, the adequate and transparent classification of credit risks and the recording of impairment charges as required.</w:t>
      </w:r>
    </w:p>
    <w:p>
      <w:r>
        <w:t>Furthermore, the Credit Risk Management Framework applies to all credit risk processes and related activities, products and services.</w:t>
      </w:r>
    </w:p>
    <w:p>
      <w:r>
        <w:t>Both the internal and external environments are scanned for events or developments that have already occurred or could occur and that directly or indirectly have or could have a significant impact on credit quality.</w:t>
      </w:r>
    </w:p>
    <w:p>
      <w:r>
        <w:t>This framework is submitted to the Board for approval.</w:t>
      </w:r>
    </w:p>
    <w:p>
      <w:r>
        <w:t>Over the past years, we have conducted several stress tests as part of our credit risk management strategy.</w:t>
      </w:r>
    </w:p>
    <w:p>
      <w:r>
        <w:t>The aim is to assess the resilience of financial institutions to adverse market developments and ensure they have sufficient capital to withstand economic shocks.</w:t>
      </w:r>
    </w:p>
    <w:p>
      <w:r>
        <w:t>The aim is to identify potential vulnerabilities and ensure that our risk management strategies are robust.</w:t>
      </w:r>
    </w:p>
    <w:p>
      <w:r>
        <w:t>The purpose is to provide timely insights and support decision-making in response to unexpected developments.</w:t>
      </w:r>
    </w:p>
    <w:p>
      <w:r>
        <w:t>The first impact of this change will be visible in the first quarter of 2025 and, from a regulatory point of view, continue to evolve until full implementation in 2033.</w:t>
      </w:r>
    </w:p>
    <w:p>
      <w:r>
        <w:t>In line with the Credit Risk Management Framework, credit risk is managed at both transactional and portfolio level.</w:t>
      </w:r>
    </w:p>
    <w:p>
      <w:r>
        <w:t>KBC uses the regulatory defined risk buckets to assess the quality, and linked risk weight, for all exposure calculated according to the Standardised approach.</w:t>
      </w:r>
    </w:p>
    <w:p>
      <w:r>
        <w:t>The exposure classes are those defined for the purpose of regulatory reporting according to the Standardised approach, viz.</w:t>
      </w:r>
    </w:p>
    <w:p>
      <w:r>
        <w:t>MDB Claims on Multilateral Development Banks independently if these qualify as ‘Sovereign’ under the IRB approach.</w:t>
      </w:r>
    </w:p>
    <w:p>
      <w:r>
        <w:t>The exposure classes are those defined for the purpose of regulatory reporting according to the IRB approach, Exposure class Standardised approach Scope Central governments and banks Claims on public sector entities, regional governments and local authorities as long as they are categorised as ‘Sovereign’ by the local regulator.</w:t>
      </w:r>
    </w:p>
    <w:p>
      <w:r>
        <w:t>For the regulatory reporting templates related to the use of the IRB approach as imposed by the EBA, we refer to a separate Excel file on the KBC website, which is published alongside the KBC Risk Report.</w:t>
      </w:r>
    </w:p>
    <w:p>
      <w:r>
        <w:t>Climate change-related regulations and shifting client preferences can significantly impact GHG emitting industries, such as Real Estate, Building &amp; Construction, Agriculture, and Transportation.</w:t>
      </w:r>
    </w:p>
    <w:p>
      <w:r>
        <w:t>For instance, counterparties with deforestation-related activities may face increased scrutiny for their environmental impact.</w:t>
      </w:r>
    </w:p>
    <w:p>
      <w:r>
        <w:t>As further detailed below, continuous efforts are made to develop our capabilities to identify environmental, social and governance risks in the context of credit risk.</w:t>
      </w:r>
    </w:p>
    <w:p>
      <w:r>
        <w:t>In general, the insights gained from these exercises are valuable for detecting hot spots in our loan portfolio, as input for target setting and monitoring, for initiating policy adjustments and for climate risk stress testing.</w:t>
      </w:r>
    </w:p>
    <w:p>
      <w:r>
        <w:t>More information about the KBC Group Sustainability Framework, our exclusion criteria and our sustainability policies can be found in the ‘ESG in our risk management’ section in the ‘Our group-wide sustainability policies and targets’ section and on the KBC website.</w:t>
      </w:r>
    </w:p>
    <w:p>
      <w:r>
        <w:t>For instance, they restrict the financing of certain activities detrimental to climate, biodiversity and the environment, as well as financing restrictions related to government and social aspects, such as gambling.</w:t>
      </w:r>
    </w:p>
    <w:p>
      <w:r>
        <w:t>As reported in our Sustainability Statement published as part of the KBC Annual Report, the KBC Sustainability Report and the ‘ESG in our risk management’ section, we have set climate targets and report on the progress made.</w:t>
      </w:r>
    </w:p>
    <w:p>
      <w:r>
        <w:t>To assess the transition risk associated with financing counterparties that have high greenhouse gas emissions, we employ a progressive approach in gathering actual emission data from our counterparties.</w:t>
      </w:r>
    </w:p>
    <w:p>
      <w:r>
        <w:t>The results of this year's assessment reaffirm that our industrial loan portfolio has limited exposure to companies contributing significantly to global greenhouse gas emissions.</w:t>
      </w:r>
    </w:p>
    <w:p>
      <w:r>
        <w:t>We employ group-wide GHG emission targets to steer the sustainable transformation of our portfolio, as outlined in our Sustainability Statement published as part of the KBC Annual Report and the KBC Sustainability Report.</w:t>
      </w:r>
    </w:p>
    <w:p>
      <w:r>
        <w:t>Within the credit risk management framework, a dedicated KRI has been developed to monitor our financed emissions in the industrial lending portfolio.</w:t>
      </w:r>
    </w:p>
    <w:p>
      <w:r>
        <w:t>According to our credit risk policies, a high environmental or social risk score in the E&amp;S Heatmap necessitates an ESG assessment at counterparty level for material credit files.</w:t>
      </w:r>
    </w:p>
    <w:p>
      <w:r>
        <w:t>Also, social aspects such as unethical labour practices are evaluated when applicable.</w:t>
      </w:r>
    </w:p>
    <w:p>
      <w:r>
        <w:t>We integrate flood risk and energy performance into our credit risk management framework.</w:t>
      </w:r>
    </w:p>
    <w:p>
      <w:r>
        <w:t>The energy performance distribution in our loan portfolio The counterparty credit risk playing field is defined through the standards and policies of the Credit Risk Management Framework for Professional Transactions CRMF_PT.</w:t>
      </w:r>
    </w:p>
    <w:p>
      <w:r>
        <w:t>Counterparty credit risk is measured via a range of regulatory measures.</w:t>
      </w:r>
    </w:p>
    <w:p>
      <w:r>
        <w:t>KBC uses three regulatory risk-weighting approaches, the Standardised approach, the IRB Foundation approach and the IRB Advanced approach.</w:t>
      </w:r>
    </w:p>
    <w:p>
      <w:r>
        <w:t>A breakdown of the CCR exposure by each of the credit risk approaches and asset classes is provided in the following tables, which is published in a separate Excel file on the KBC website, EU CCR3 – Standardised Approach – CCR exposures by regulatory exposure class and risk weight.</w:t>
      </w:r>
    </w:p>
    <w:p>
      <w:r>
        <w:t>More specifically, we perform a climate risk stress test on the CCR portfolio on a quarterly basis whereby we focus on the short-term transition risks 3-year horizon and follow the ‘Disorderly’ scenario as required by the 2022 ECB Climate Stress Test.</w:t>
      </w:r>
    </w:p>
    <w:p>
      <w:r>
        <w:t>The market non-trading risk playing field is defined through the standards and policies of the Non-Trading Market Risk Management Framework NT_MRMF – the so-called ALM framework.</w:t>
      </w:r>
    </w:p>
    <w:p>
      <w:r>
        <w:t>Furthermore, our reinsurance company – KBC Group Re, located in Luxembourg – also requires ALM risk management, as well as foreign branches aiming to support client activities in several European and non-European regions notably in London, New York, Hong Kong, Singapore and Shanghai.</w:t>
      </w:r>
    </w:p>
    <w:p>
      <w:r>
        <w:t>The governance, rules and procedures and how asset and liability risk management is performed throughout the group are outlined in the Non-Trading Market Risk Framework NT_MRMF.</w:t>
      </w:r>
    </w:p>
    <w:p>
      <w:r>
        <w:t>Given the specifics of the Treasury domain and in support of the Group CRO, a CRO Markets &amp; Treasury was appointed who is accountable for the risk management of the Treasury activities.</w:t>
      </w:r>
    </w:p>
    <w:p>
      <w:r>
        <w:t>Measures are complemented by stress tests, covering back-testing of prepayments, net interest income results under various scenarios, or the impact on regulatory capital stemming from interest, spread or equity risk residing within the banking books.</w:t>
      </w:r>
    </w:p>
    <w:p>
      <w:r>
        <w:t>This is due to the fact that assets could fall under more market scrutiny following the continued effects of climate change, which could directly affect asset value see ‘ESG risk management in practice’.</w:t>
      </w:r>
    </w:p>
    <w:p>
      <w:r>
        <w:t>Regarding measuring ESG risks and climate-related risks in particular, we participated in the internal Integrated Climate Stress Test as explained in the ‘ESG in our risk management’ section.</w:t>
      </w:r>
    </w:p>
    <w:p>
      <w:r>
        <w:t>For the purpose of monitoring, a dedicated Climate KRI monitoring the concentration of high-risk assets was developed and included in the Climate Risk Dashboard.</w:t>
      </w:r>
    </w:p>
    <w:p>
      <w:r>
        <w:t>Keeping a close eye on risks stemming from stranded assets Stranded assets are any assets that, between purchase and intended sale, fall out of regulatory compliance or lose material market value due to shifts in market demand namely regarding sustainability.</w:t>
      </w:r>
    </w:p>
    <w:p>
      <w:r>
        <w:t>The liquidity risk playing field is defined through the standards and policies of the Liquidity Risk Management Framework .</w:t>
      </w:r>
    </w:p>
    <w:p>
      <w:r>
        <w:t>Due to the specifics of the Treasury domain and in support of the Group CRO, a CRO Markets &amp; Treasury was appointed who is accountable for risk management of the treasury activities.</w:t>
      </w:r>
    </w:p>
    <w:p>
      <w:r>
        <w:t>KBC’s ILAAP Internal Liquidity Adequacy Assessment Process is governed by the ILAAP policy, owned by the Board.</w:t>
      </w:r>
    </w:p>
    <w:p>
      <w:r>
        <w:t>The regulatory measures on liquidity, such as the Liquidity Coverage Ratio LCR and the Net Stable Funding Ratio , on their own do not provide a holistic perspective on the strengths and potential weaknesses of KBC’s liquidity position.</w:t>
      </w:r>
    </w:p>
    <w:p>
      <w:r>
        <w:t>This report allows the Board to make a statement on the ability of the Group and its entities to maintain adequate liquidity going forward in view of the corporate strategy and business model, the effectiveness of KBC’s risk and control environment, its governance and risk culture, and the current and expected development of KBC’s risk profile under various scenarios.</w:t>
      </w:r>
    </w:p>
    <w:p>
      <w:r>
        <w:t>KBC’s low liquidity risk profile is illustrated by the fact that KBC is well above the thresholds for regulatory and internal liquidity measures.</w:t>
      </w:r>
    </w:p>
    <w:p>
      <w:r>
        <w:t>The objective of our market risk management is to measure, report and advise on the market risk of the aggregate trading position at group level, to ensure that activities are consistent with the group’s risk appetite.</w:t>
      </w:r>
    </w:p>
    <w:p>
      <w:r>
        <w:t>The risk appetite for market risk in the trading activities is set at low and is overseen by the GMC via a risk limit framework consisting of a hierarchy of limits and early warning indicators, approved by the Board.</w:t>
      </w:r>
    </w:p>
    <w:p>
      <w:r>
        <w:t>The hierarchy of the risk limit framework can be split into the main primary limits and a series of secondary limits, Any breaches of the two primary group limits i.</w:t>
      </w:r>
    </w:p>
    <w:p>
      <w:r>
        <w:t>The KBC Group HVaR limit and the Group Trading Market Risk RWA limit could imply a breach of the group risk appetite and hence can only be approved by the Board.</w:t>
      </w:r>
    </w:p>
    <w:p>
      <w:r>
        <w:t>In addition to the primary limits, a wide range of more granular additional – secondary – limits are set to ensure efficient and effective day-to-day risk management.</w:t>
      </w:r>
    </w:p>
    <w:p>
      <w:r>
        <w:t>For the regulatory reporting templates related to the use of the Standardised Approach and internal models for market risk as imposed by the EBA, we refer to a separate Excel file on the KBC website, which is published alongside the KBC Risk Report.</w:t>
      </w:r>
    </w:p>
    <w:p>
      <w:r>
        <w:t>The Standardised Approach is used to calculate the regulatory capital requirements for the very small positions that remain at the local KBC entities for practical, legal or regulatory reasons and for the business lines not included in the HVaR calculations.</w:t>
      </w:r>
    </w:p>
    <w:p>
      <w:r>
        <w:t>If there are more than four overshootings over a rolling window of 250 business days, this results in an increase in the regulatory multiplier of average HVaR and SVaR used for AIM capital requirement calculations.</w:t>
      </w:r>
    </w:p>
    <w:p>
      <w:r>
        <w:t>In addition, the ExCo established a Group Valuation Committee to ensure that KBC and its entities are compliant with all the relevant regulatory requirements concerning the valuation of financial instruments that are measured at fair value.</w:t>
      </w:r>
    </w:p>
    <w:p>
      <w:r>
        <w:t>More specifically, we perform a climate risk stress test on the trading portfolio on a quarterly basis whereby we focus on the shortterm transition risks 3-year horizon and follow the ‘Disorderly’ scenario as included in the 2022 ECB Climate Risk Stress Test.</w:t>
      </w:r>
    </w:p>
    <w:p>
      <w:r>
        <w:t>In the context of risk reporting, monitoring and follow-up, we monitor trading positions that can be sensitive to climate change.</w:t>
      </w:r>
    </w:p>
    <w:p>
      <w:r>
        <w:t>These are factored into dedicated climate KRIs and reported to the GMC as part of our Climate Risk Dashboard.</w:t>
      </w:r>
    </w:p>
    <w:p>
      <w:r>
        <w:t>The technical insurance risk playing field is defined through the standards and policies of the Insurance Risk Management Framework.</w:t>
      </w:r>
    </w:p>
    <w:p>
      <w:r>
        <w:t>The Competence Centre is responsible for providing support for local implementation and for the functional direction of the insurance risk management processes of the insurance subsidiaries.</w:t>
      </w:r>
    </w:p>
    <w:p>
      <w:r>
        <w:t>The actuarial function helps to ensure continuous compliance with the requirements regarding the calculation of technical provisions and the risks arising from this calculation, and assesses the reinsurance policy and underwriting risk.</w:t>
      </w:r>
    </w:p>
    <w:p>
      <w:r>
        <w:t>Via our third LoD, regular internal audits are performed on our technical insurance risk practices and processes.</w:t>
      </w:r>
    </w:p>
    <w:p>
      <w:r>
        <w:t>Technical insurance risk is measured by means of both regulatory measures, such as Solvency Capital Requirement and Best Estimate valuation of insurance liabilities, and internal measures on, for example, Non-life capital requirements based on internal stochastic models.</w:t>
      </w:r>
    </w:p>
    <w:p>
      <w:r>
        <w:t>Aside from the regulatory and internal measures, we also consider complementary measures which are not considered technical insurance risk measures, but provide additional insights into the insurance liabilities from a risk perspective.</w:t>
      </w:r>
    </w:p>
    <w:p>
      <w:r>
        <w:t>Climate change transition risk drivers can significantly impact pricing, underwriting and claims management of insurance products.</w:t>
      </w:r>
    </w:p>
    <w:p>
      <w:r>
        <w:t>Increased climate litigation can increase general third-party liability claims.</w:t>
      </w:r>
    </w:p>
    <w:p>
      <w:r>
        <w:t>Physical risks of climate change mainly impact technical insurance risk through a potential increase in the frequency and severity of natural catastrophes, resulting in higher property insurance and, to a lesser degree, Life and Health insurance claims.</w:t>
      </w:r>
    </w:p>
    <w:p>
      <w:r>
        <w:t>A degradation in regulating services climate regulation, flood mitigation can increase the frequency and severity of natural catastrophes, impacting mainly property insurance.</w:t>
      </w:r>
    </w:p>
    <w:p>
      <w:r>
        <w:t>Changing legislation and regulatory initiatives related to social topics, such as the right to be forgotten, can make it challenging to adequately price the risk in our insurance portfolios.</w:t>
      </w:r>
    </w:p>
    <w:p>
      <w:r>
        <w:t>Through a comprehensive approach of dialogue with internal and external stakeholders and following up news, industry, regulatory, governmental and academic sources, newly emerging ESG risks and trends risk signals are also identified early.</w:t>
      </w:r>
    </w:p>
    <w:p>
      <w:r>
        <w:t>To support stability in earnings and capital for our insurance business, appropriate risk mitigation is implemented by means of reinsurance programmes protecting against the impact of large claims or accumulation of losses due to climate change effects and by means of a diversified exposure across all core markets.</w:t>
      </w:r>
    </w:p>
    <w:p>
      <w:r>
        <w:t>A number of specific climate risk KRIs have been defined to measure and follow up on the most material ESG risks as defined in the Environmental Risk Impact Map , such as for climate change transition risk electric and hybrid vehicles and climate change physical risk floods.</w:t>
      </w:r>
    </w:p>
    <w:p>
      <w:r>
        <w:t>Through a variety of external reports see ‘Components of a sound risk management’, we also inform our external stakeholders on ESG risks in our insurance activities.</w:t>
      </w:r>
    </w:p>
    <w:p>
      <w:r>
        <w:t>This is evidenced by multiple measures, such as regulatory capital requirements, internal modelling and claims history.</w:t>
      </w:r>
    </w:p>
    <w:p>
      <w:r>
        <w:t>Due to climate change, an increase is expected in both the frequency and severity of floods in most of KBC’s home markets.</w:t>
      </w:r>
    </w:p>
    <w:p>
      <w:r>
        <w:t>Besides the GICC there are also several Business Committees that centrally steer management of operational risks, The Global IT Committee serves as the governance structure to ensure alignment on Information Security and IT strategy and related group-wide mandatory controls.</w:t>
      </w:r>
    </w:p>
    <w:p>
      <w:r>
        <w:t>The LORM supports Business in interpreting and implementing the ORMF and challenges the quality of the first LoD risk management processes and quality of the control environment.</w:t>
      </w:r>
    </w:p>
    <w:p>
      <w:r>
        <w:t>To facilitate and promote the proper and efficient functioning of our second LoD, the following Councils have been established, Operational Risk Council, with the Heads of Operational Risk Teams of all material entities and Group Risk, to ensure alignment on group-wide Operational Risk management topics, approaches, reports and concepts, with the final goal to support risk committees mainly GICC and CRO Services MC for all matters that relate to Operational Risk.</w:t>
      </w:r>
    </w:p>
    <w:p>
      <w:r>
        <w:t>Operational risk analysis and reporting aim to give a transparent and comprehensive, forward-looking and expost view on the development of the risk profile and the context in which KBC operates.</w:t>
      </w:r>
    </w:p>
    <w:p>
      <w:r>
        <w:t>Structural reporting is done on a quarterly basis to the GICC via the Operational and Compliance Risk Report, to the Board, RCC and ExCo via the Integrated Risk Report, and on a monthly basis to the Global IT Committee .</w:t>
      </w:r>
    </w:p>
    <w:p>
      <w:r>
        <w:t>To ensure that Information Security and Information Technology risks are effectively mitigated, a number of challenges are performed throughout the group on a regular basis, such as technical cyber resilience &amp; readiness testing, detailed investigations, employee phishing tests, crisis simulations and other incident drills.</w:t>
      </w:r>
    </w:p>
    <w:p>
      <w:r>
        <w:t>KBC has set-up a programme to comply with the requirements of DORA and ensure consistent and transparent implementation, by providing steering, oversight and reporting.</w:t>
      </w:r>
    </w:p>
    <w:p>
      <w:r>
        <w:t>It is prepared for each material, regulated bank/insurance entity in the group, in compliance with the reporting requirements of the NBB on the ‘Report of the senior management on the assessment of the internal control’.</w:t>
      </w:r>
    </w:p>
    <w:p>
      <w:r>
        <w:t>The opinion on KBC’s Internal Control System has been formulated based on the self-assessment by Business and challenge by domain experts, and on the independent opinion of the risk, compliance and audit functions, both at Local and group level.</w:t>
      </w:r>
    </w:p>
    <w:p>
      <w:r>
        <w:t>Business, risk, compliance and audit each use relevant, fact-based data as input for their opinion.</w:t>
      </w:r>
    </w:p>
    <w:p>
      <w:r>
        <w:t>This ensures alignment with broader risk oversight and KBC objectives.</w:t>
      </w:r>
    </w:p>
    <w:p>
      <w:r>
        <w:t>A thorough vetting process is in place to assess the cybersecurity practices of suppliers, contractors and partners before engagement.</w:t>
      </w:r>
    </w:p>
    <w:p>
      <w:r>
        <w:t>Continuous analysis and adaptation of security measures supports the commitment to stakeholder protection.</w:t>
      </w:r>
    </w:p>
    <w:p>
      <w:r>
        <w:t>Therefore, effective third-party risk management follows the stages of the life cycle for third-party arrangements, which includes due diligence, risk assessment, contracting, onboarding, ongoing monitoring and termination.</w:t>
      </w:r>
    </w:p>
    <w:p>
      <w:r>
        <w:t>Internal governance arrangements and sound risk management are in place to assure that the third-party arrangements and the related third-party risks are properly managed and kept within the boundaries of the risk appetite.</w:t>
      </w:r>
    </w:p>
    <w:p>
      <w:r>
        <w:t>Regulatory requirements regarding follow-up, measurement and reporting of outsourcing risk have increased over the years for example, via DORA and the EBA and EIOPA Guidelines on Outsourcing.</w:t>
      </w:r>
    </w:p>
    <w:p>
      <w:r>
        <w:t>As contracting external service providers is an essential part of operational processes and intra-group outsourcing is an important aspect of the KBC strategy, the need to focus on outsourcing risk remains a key element of the group-wide risk management.</w:t>
      </w:r>
    </w:p>
    <w:p>
      <w:r>
        <w:t>Qualitative risk governance of KBC’s outsourced activities is ensured by regular risk assessments, their frequency being defined by the criticality of the outsourced activity.</w:t>
      </w:r>
    </w:p>
    <w:p>
      <w:r>
        <w:t>KBC’s model risk management standards establish a framework that allows model risk to be identified, understood and efficiently manage, similar to any other risk type.</w:t>
      </w:r>
    </w:p>
    <w:p>
      <w:r>
        <w:t>The most severe impacts of ESG on operational risk have been identified in the Environmental Risk Impact Map and in the performed materiality exercises on social risk.</w:t>
      </w:r>
    </w:p>
    <w:p>
      <w:r>
        <w:t>The influence of governance factors can lead to misconduct and non-compliance with corporate guidelines.</w:t>
      </w:r>
    </w:p>
    <w:p>
      <w:r>
        <w:t>Within our operational risk management processes, controls are established for managing cyber risk, model risk such as avoiding bias in models and ensuring ethical AI, business continuity risk such as maintaining service continuity for clients in the event of disruption caused by climate or other ESG risk drivers, legal risk including climate litigation, and personal and physical security risk concerning personnel and clients.</w:t>
      </w:r>
    </w:p>
    <w:p>
      <w:r>
        <w:t>A number of specific climate risk KRIs have been defined to measure and follow up on the most material ESG risks as defined in the Environmental Risk Impact Map .</w:t>
      </w:r>
    </w:p>
    <w:p>
      <w:r>
        <w:t>This comprehensive approach to risk management helps KBC maintain operational resilience in the face of diverse and evolving threats.</w:t>
      </w:r>
    </w:p>
    <w:p>
      <w:r>
        <w:t>Maintaining operational resilience in case of pandemics The impact of biodiversity loss and diseases is becoming increasingly significant, particularly as the frequency of such diseases is expected to rise due to climate change and the lack of biodiversity.</w:t>
      </w:r>
    </w:p>
    <w:p>
      <w:r>
        <w:t>This includes promoting remote work and remote sales to ensure business continuity even when employees cannot be physically present.</w:t>
      </w:r>
    </w:p>
    <w:p>
      <w:r>
        <w:t>By adopting these strategies, KBC aims to maintain operational resilience and minimise disruptions caused by the increasing frequency of diseases linked to biodiversity loss.</w:t>
      </w:r>
    </w:p>
    <w:p>
      <w:r>
        <w:t>As social engineering and new fraud techniques within cybersecurity continue to evolve and can cause significant impact, several initiatives have been implemented to raise cyber security awareness among clients, employees, management and the public.</w:t>
      </w:r>
    </w:p>
    <w:p>
      <w:r>
        <w:t>Phishing simulation tests are regularly conducted for employees to maintain vigilance.</w:t>
      </w:r>
    </w:p>
    <w:p>
      <w:r>
        <w:t>All KBC entities within the Compliance Universe are in scope of Compliance Risk Management.</w:t>
      </w:r>
    </w:p>
    <w:p>
      <w:r>
        <w:t>Compliance risk is covered by a holistic framework that includes the Compliance Charter, the Integrity Policy, the specific risk appetite and accompanying Key Risk Indicators KRIs, the Group Compliance Rules, the Compliance Monitoring Programme and other reporting.</w:t>
      </w:r>
    </w:p>
    <w:p>
      <w:r>
        <w:t>A proper governance is in place to guarantee the independence of the Compliance Function with an adequate escalation process to the ExCo, the Risk &amp; Compliance Committee and the Board of Directors.</w:t>
      </w:r>
    </w:p>
    <w:p>
      <w:r>
        <w:t>The governance of the Compliance Function is further described in the Compliance Charter and is in line with EBA/EIOPA guidelines on internal governance.</w:t>
      </w:r>
    </w:p>
    <w:p>
      <w:r>
        <w:t>KBC Group Compliance and each compliance function within the Group overseeing subgroup activities shall perform a steering, supporting and monitoring role, in consultation with the local Chief Compliance Officers.</w:t>
      </w:r>
    </w:p>
    <w:p>
      <w:r>
        <w:t>Business lines, acting as the first LoD, are the direct owners of the compliance risks in their day-to-day activities and are fully accountable towards the Board of Directors and regulatory authorities.</w:t>
      </w:r>
    </w:p>
    <w:p>
      <w:r>
        <w:t>As the second LoD, the compliance function is accountable to support the business to manage and monitor these risks through advice, training, policies and procedures, monitoring and recommendations.</w:t>
      </w:r>
    </w:p>
    <w:p>
      <w:r>
        <w:t>The audit function operates as the third LoD and independently assesses the functioning, effectiveness and compliance risk management activities of the first and second LoD.</w:t>
      </w:r>
    </w:p>
    <w:p>
      <w:r>
        <w:t>The KBC Corporate Strategy, along with the values defended by the Group and key requirements, are set out in detail in the KBC Integrity Policy.</w:t>
      </w:r>
    </w:p>
    <w:p>
      <w:r>
        <w:t>They are complemented by, a Group Compliance content-based strategy, and, backward and forward-looking, qualitative and quantitative key risk and performance indicators as defined by the Group Compliance Risk Appetite to better underpin the risk profile of the organisation and to reflect the ultimate aim of conforming to the letter and spirit of the law.</w:t>
      </w:r>
    </w:p>
    <w:p>
      <w:r>
        <w:t>Compliance risk is the risk that a judicial, administrative or regulatory sanction is imposed on an institution and/or its employees because of non-compliance with the laws and regulations pertaining to the compliance domains, resulting in loss of reputation and potential financial loss.</w:t>
      </w:r>
    </w:p>
    <w:p>
      <w:r>
        <w:t>This loss of reputation can also be the result of non-compliance with the internal policy in this regard and with the institution’s own values and codes of conduct in relation to the integrity of its activities.</w:t>
      </w:r>
    </w:p>
    <w:p>
      <w:r>
        <w:t>The risk appetite related to compliance matters means behaving in conformity with the letter and the spirit of the law, in a responsible and integer manner, giving priority to the interests of the client ‘gatekeeper role’.</w:t>
      </w:r>
    </w:p>
    <w:p>
      <w:r>
        <w:t>The compliance function’s role in managing compliance risk is twofold, On the one hand, the compliance function is particularly dedicated to the identification, assessment and analysis of the risks linked to the compliance domains.</w:t>
      </w:r>
    </w:p>
    <w:p>
      <w:r>
        <w:t>This preventive role has come about through Group Compliance Rules that define minimum requirements for the entire Group, the provision of procedures and instructions, tailored training courses and awareness initiatives, information on new regulatory developments to the governance bodies in support of group strategy, and the implementation of legal and regulatory requirements by the various businesses concerned.</w:t>
      </w:r>
    </w:p>
    <w:p>
      <w:r>
        <w:t>Together with the other control functions, the compliance function continues to ensure that, under the NAPP, the launch of any new products conforms with the many legal and regulatory provisions in place, such as MiFID II, the Insurance Distribution Directive and other local and EU Regulations, as well as being in line with KBC’s values.</w:t>
      </w:r>
    </w:p>
    <w:p>
      <w:r>
        <w:t>On the other hand – as the second LoD – it carries out risk-based monitoring to ensure the adequacy of the internal control environment.</w:t>
      </w:r>
    </w:p>
    <w:p>
      <w:r>
        <w:t>More specifically, monitoring allows it to verify whether legal and regulatory requirements are correctly implemented in the compliance domains.</w:t>
      </w:r>
    </w:p>
    <w:p>
      <w:r>
        <w:t>Moreover, quality controls are performed by Group Compliance in the main Group entities to assure the Board that the compliance risk is properly assessed by the local compliance function.</w:t>
      </w:r>
    </w:p>
    <w:p>
      <w:r>
        <w:t>Group Compliance has been working on developing the foundations of a strong group-wide compliance function.</w:t>
      </w:r>
    </w:p>
    <w:p>
      <w:r>
        <w:t>Going forward, the focus will be on further improving methodology and processes within compliance in order to provide the necessary assurance to the Board and the regulator.</w:t>
      </w:r>
    </w:p>
    <w:p>
      <w:r>
        <w:t>The main goal is a holistic, risk-based and datadriven approach to compliance.</w:t>
      </w:r>
    </w:p>
    <w:p>
      <w:r>
        <w:t>Efforts are continuously made to adapt the organisation to a constantly changing regulatory environment, particularly with regard to clients who present an increased risk and for whom additional information is required.</w:t>
      </w:r>
    </w:p>
    <w:p>
      <w:r>
        <w:t>As such, the compliance function also closely follows EU developments at the level of the new AML Authority and regulatory provisions expected in 2024 and subsequent years.</w:t>
      </w:r>
    </w:p>
    <w:p>
      <w:r>
        <w:t>Special emphasis is placed on a preventive risk management approach for example, embargo circumvention measures.</w:t>
      </w:r>
    </w:p>
    <w:p>
      <w:r>
        <w:t>In the past few years, resources were increased within the compliance function to enable a strong reinforcement of the Compliance Monitoring Programme, to keep pace with the expanding regulatory requirements and fast strategic and business developments.</w:t>
      </w:r>
    </w:p>
    <w:p>
      <w:r>
        <w:t>In the context of KBC’s data-driven strategy, it is crucial to pay attention to all upcoming regulatory developments in the data and consumer protection domains to ensure future-proof, reliable and trustworthy bank-insurance activities for KBC clients.</w:t>
      </w:r>
    </w:p>
    <w:p>
      <w:r>
        <w:t>The compliance function closely follows up on the regulatory developments impacting the data and/or consumer protection domains such as FIDA, PSD3/PSR, and the Basic Banking Service.</w:t>
      </w:r>
    </w:p>
    <w:p>
      <w:r>
        <w:t>Corporate governance in credit institutions and insurance undertakings aims to ensure that they operate in a safe and sound manner, manage risks effectively, and make decisions that are in the best interests of their stakeholders.</w:t>
      </w:r>
    </w:p>
    <w:p>
      <w:r>
        <w:t>Strong corporate governance practices strengthen KBC in dealing with, and controlling, compliance risk.</w:t>
      </w:r>
    </w:p>
    <w:p>
      <w:r>
        <w:t>As in previous years, compliance therefore advises upon and monitors compliance with governance aspects of CRD IV and V and Solvency II such as outsourcing, functioning and composition of committees, Fit &amp; Proper, incompatibility of mandates, follow-up on handling of complaints, conflicts of interest, sound remuneration, etc.</w:t>
      </w:r>
    </w:p>
    <w:p>
      <w:r>
        <w:t>Additionally, governance of the compliance function, as an independent control function, is of utmost importance in dealing with compliance risk.</w:t>
      </w:r>
    </w:p>
    <w:p>
      <w:r>
        <w:t>Continuous efforts are made to strengthen compliance governance and enhance group-wide steering, alignment and cooperation with local entities.</w:t>
      </w:r>
    </w:p>
    <w:p>
      <w:r>
        <w:t>The principles of corporate governance go hand in hand with responsible behaviour, which is one of the three cornerstones of KBC's sustainability strategy.</w:t>
      </w:r>
    </w:p>
    <w:p>
      <w:r>
        <w:t>Together with business ethics, responsible behaviour is essential in ensuring that KBC maintains one of its most valuable assets, trust.</w:t>
      </w:r>
    </w:p>
    <w:p>
      <w:r>
        <w:t>From the point of view of sustainability, KBC promotes a strong corporate culture that encourages responsible behaviour throughout the entire organisation, including in terms of ESG responsibility.</w:t>
      </w:r>
    </w:p>
    <w:p>
      <w:r>
        <w:t>Several compliance domains are closely linked to these aspects, such as corporate governance, investor/consumer protection, ethics and fraud, and anti-money laundering.</w:t>
      </w:r>
    </w:p>
    <w:p>
      <w:r>
        <w:t>Particular attention is paid to the ESG characteristics of investment products and the methodology used to define these characteristics, aligned with regulatory frameworks such as the Sustainable Finance Disclosure Regulation and the Taxonomy Regulation.</w:t>
      </w:r>
    </w:p>
    <w:p>
      <w:r>
        <w:t>We promote a strong corporate culture that encourages responsible behaviour throughout the entire organisation, including social and environmental responsibilities.</w:t>
      </w:r>
    </w:p>
    <w:p>
      <w:r>
        <w:t>Proactive and re-active management of reputational risk is the responsibility of business, supported by specialist units including Group Communication, Investor Relations and Group Compliance.</w:t>
      </w:r>
    </w:p>
    <w:p>
      <w:r>
        <w:t>In this respect, we actively monitor a non-exhaustive list of business indicators which provide valuable input from a risk management perspective, including Net Promoter Scores , the Corporate Reputation Index, statistics on complaints, ESG ratings and the evolution of the stock price index and other financial indicators.</w:t>
      </w:r>
    </w:p>
    <w:p>
      <w:r>
        <w:t>In the second LoD, the risk function is responsible for the core risk management process, while the Compliance function is heavily involved in complaints handling.</w:t>
      </w:r>
    </w:p>
    <w:p>
      <w:r>
        <w:t>Notably, the Group Communication and Investor Relations departments implement tools and procedures to detect issues early and proactively address them including related to disinformation/fake news which can impact KBC’s reputation, for instance by screening the external world press articles, social media, analyst reports, etc.</w:t>
      </w:r>
    </w:p>
    <w:p>
      <w:r>
        <w:t>The group risk appetite, including the strategic objectives with regard to reputational risk tolerance, is determined by the Board by means of an annual review.</w:t>
      </w:r>
    </w:p>
    <w:p>
      <w:r>
        <w:t>To support its reputational resilience, KBC proactively prepares for potential crisis situations via, for example, its Business Continuity Plans as outlined in the ‘Operational risk management’ section or the Recovery Plan.</w:t>
      </w:r>
    </w:p>
    <w:p>
      <w:r>
        <w:t>Embedding sustainability in our day-to-day business activities, in our products and services, in our outsourcing activities, in our contracts with suppliers and in the minds of our employees is a key requisite of KBC’s sustainability strategy.</w:t>
      </w:r>
    </w:p>
    <w:p>
      <w:r>
        <w:t>To this end, responsible behaviour is one of the cornerstones of KBC’s sustainability strategy.</w:t>
      </w:r>
    </w:p>
    <w:p>
      <w:r>
        <w:t>It is crucial for us that we act in a responsible and ethical way to gain and keep the trust of our stakeholders, We genuinely care about and encourage responsible behaviour of all our employees.</w:t>
      </w:r>
    </w:p>
    <w:p>
      <w:r>
        <w:t>In particular, we focus on respecting human rights throughout all our activities.</w:t>
      </w:r>
    </w:p>
    <w:p>
      <w:r>
        <w:t>We adhere to the principles described in the KBC Group Sustainability Framework.</w:t>
      </w:r>
    </w:p>
    <w:p>
      <w:r>
        <w:t>Reputational risk is mitigated by our sustainability policies which you can learn more about at this link for credit, insurance, advisory services and investments asset management and proprietary investments as well as supporting activities such as procurement.</w:t>
      </w:r>
    </w:p>
    <w:p>
      <w:r>
        <w:t>In our policies, we identify controversial activities with respect to the environment, human rights, business ethics and sensitive/controversial societal issues.</w:t>
      </w:r>
    </w:p>
    <w:p>
      <w:r>
        <w:t>We also follow up on whether KBC’s publicly committed climate targets are on track and report on this to the ExCo, RCC and Board, To detect ESG risks and to avoid related controversies, we have developed a specific due diligence process to monitor compliance of our lending, insurance activities and advisory services with our sustainability framework.</w:t>
      </w:r>
    </w:p>
    <w:p>
      <w:r>
        <w:t>Finally, our NAPP process ensures fair treatment of our clients and compliance with related regulation whilst also considering several ESG aspects see ‘ESG in our risk management’.</w:t>
      </w:r>
    </w:p>
    <w:p>
      <w:r>
        <w:t>Lastly, given KBC’s data-driven strategy, it is crucial to correctly protect and manage the personal data of our employees and clients, as explained in the ‘Operational risk management’ section.</w:t>
      </w:r>
    </w:p>
    <w:p>
      <w:r>
        <w:t>Disclosure according to Article 2 in Commission Implementing Regulation No 1423/2013 Capital Base Financial statements KBC Group Deconsolidation KBC Insurance Prudential treatment Own funds In millions of EUR 31-12-24 * Total regulatory capital, KBC Group after profit appropriation Tier-1 capital Common equity Parent shareholders’ equity 18 932 Intangible fixed assets incl.</w:t>
      </w:r>
    </w:p>
    <w:p>
      <w:r>
        <w:t>Therefore, sustainability has been integrated into the remuneration of our top management and employees, Elements such as sustainability are becoming increasingly important and today determine at least 30% of the collective, variable, results-related remuneration components awarded to members of the ExCo.</w:t>
      </w:r>
    </w:p>
    <w:p>
      <w:r>
        <w:t>At least 10% of the variable remuneration received by top management depends on the achievement of individual targets related to the implementation of the group’s sustainability strategy.</w:t>
      </w:r>
    </w:p>
    <w:p>
      <w:r>
        <w:t>The non-recurrent results-based bonus KBC pays its employees in Belgium has been partially linked to sustainability targets since 2012.</w:t>
      </w:r>
    </w:p>
    <w:p>
      <w:r>
        <w:t>In 2024, the targets were linked partly to our direct footprint – Green Mobility coming to the office using an environmentally friendly means of transport – but also to employee development training days, digitality and progress management and cybersecurity phishing tests.</w:t>
      </w:r>
    </w:p>
    <w:p>
      <w:r>
        <w:t>In 2024, we continued to further increase ESG risk awareness by, following up on new and changing regulations through a Sustainable Finance Legal Working Group.</w:t>
      </w:r>
    </w:p>
    <w:p>
      <w:r>
        <w:t>This includes, o providing general awareness training for all staff including a dedicated training on ESG risk to new risk managers.</w:t>
      </w:r>
    </w:p>
    <w:p>
      <w:r>
        <w:t>Additionally, it includes a deep dive into KBC’s overall strategy with a focus on such topics as sustainability, responsible behaviour and artificial intelligence.</w:t>
      </w:r>
    </w:p>
    <w:p>
      <w:r>
        <w:t>While the initial focus of the Environmental Risk Impact Map was on climate risk, we extended the scope with nature loss and other environmental risks air, water and soil pollution, substances of concern and microplastics, water stress, marine resource depletion and non-circular economy.</w:t>
      </w:r>
    </w:p>
    <w:p>
      <w:r>
        <w:t>In addition to an Environmental Risk Impact Map at group level, separate maps have been constructed for KBC Bank, KBC Insurance and KBC Asset Management.</w:t>
      </w:r>
    </w:p>
    <w:p>
      <w:r>
        <w:t>In addition to the risk-type-specific impact maps that mainly focus on potential losses, a complementing assessment of the potential impact of environmental risk drivers on KBC’s business model is made with a focus on impact on KBC’s revenues and the demand for KBC’s products and services.</w:t>
      </w:r>
    </w:p>
    <w:p>
      <w:r>
        <w:t>Within KBC’s approach for identifying environmental risks, environmental risk drivers generate transition and physical risks, which in turn generate economic risks via transmission channels and could result in financial and non-financial risks for KBC.</w:t>
      </w:r>
    </w:p>
    <w:p>
      <w:r>
        <w:t>An integrated approach to environmental risk management is recommended as climate change, nature loss and the other environmental issues are interconnected and can amplify the effects of physical and transition risks.</w:t>
      </w:r>
    </w:p>
    <w:p>
      <w:r>
        <w:t>The transition and chronic and acute physical risk drivers considered in the Environmental Risk Impact Map are listed in the tables below.</w:t>
      </w:r>
    </w:p>
    <w:p>
      <w:r>
        <w:t>Policy and regulation The risks associated with policy changes or regulations to make the transition towards a climate-resilient or environmentally sustainable economy.</w:t>
      </w:r>
    </w:p>
    <w:p>
      <w:r>
        <w:t>For nature loss, these are policies and regulations aiming to maintain, preserve and increase biodiversity and natural resources, wildlife and endangered species.</w:t>
      </w:r>
    </w:p>
    <w:p>
      <w:r>
        <w:t>Furthermore, the policy changes or regulations for the other environmental issues aim to make the transition towards a resilient, circular economy while limiting pollution, water stress and pressure on marine resources.</w:t>
      </w:r>
    </w:p>
    <w:p>
      <w:r>
        <w:t>Chronic Acute Climate change Temperature-related Increase/decrease of average temperature, increase/decrease in max.</w:t>
      </w:r>
    </w:p>
    <w:p>
      <w:r>
        <w:t>Macroeconomic transmission channels are the mechanisms by which environmental risk drivers affect macroeconomic factors for example, labour productivity and economic growth and how these, in turn, may have an impact on macroeconomic variables such as risk-free interest rates, inflation, commodities and foreign exchange rates.</w:t>
      </w:r>
    </w:p>
    <w:p>
      <w:r>
        <w:t>Households may come under pressure to invest to lower their own emissions due to energy performance regulation and to reduce freshwater use.</w:t>
      </w:r>
    </w:p>
    <w:p>
      <w:r>
        <w:t>As energy efficiency considerations are increasingly being factored into house prices, energy-inefficient houses may decrease in value or increase more slowly.</w:t>
      </w:r>
    </w:p>
    <w:p>
      <w:r>
        <w:t>The timing and severity of transition and physical risks i.</w:t>
      </w:r>
    </w:p>
    <w:p>
      <w:r>
        <w:t>Climate pathway depend mainly on government and policy action.</w:t>
      </w:r>
    </w:p>
    <w:p>
      <w:r>
        <w:t>For the assessments of the other environmental issues, we currently do not use any scenarios given that no industry standards or practices are available at this point in time.</w:t>
      </w:r>
    </w:p>
    <w:p>
      <w:r>
        <w:t>Each scenario contains different assumptions regarding the timing and impact of various physical and transition risk drivers, Net Zero 2050 Orderly scenario, this scenario assumes that ambitious climate policies are introduced immediately.</w:t>
      </w:r>
    </w:p>
    <w:p>
      <w:r>
        <w:t>Physical risks increase more than in the Net Zero 2050 scenario and transition risks are severe.</w:t>
      </w:r>
    </w:p>
    <w:p>
      <w:r>
        <w:t>With every yearly review of the Environmental Risk Impact Map, additional insights, data and quantification are added to the basis for the assessments to allow KBC to evaluate environmental risks in a progressively data-driven way.</w:t>
      </w:r>
    </w:p>
    <w:p>
      <w:r>
        <w:t>In general, considering the risk drivers, scenarios and time horizons, the Environmental Risk Impact Map results in the following conclusions, Most significant impacts can be expected for climate change, nature loss and water stress, for example due to the macroeconomic and systemic effects these risks can generate.</w:t>
      </w:r>
    </w:p>
    <w:p>
      <w:r>
        <w:t>Over all environmental topics, the most significant impacts with magnitude of impacts dependent on the considered scenario and time horizon are identified, Impact on credit risk, for example through loans to companies in environmentally vulnerable sectors from a transition or physical risk point of view, impacting collateral devaluation real estate and repayment capacity issues due to price increases in case of resource scarcity.</w:t>
      </w:r>
    </w:p>
    <w:p>
      <w:r>
        <w:t>Impact on technical insurance risk, whereas climate change primarily impacts the Non-Life portfolios through natural catastrophes, nature loss and other environmental issues will mainly impact the Risk Life portfolio through their impact on human health.</w:t>
      </w:r>
    </w:p>
    <w:p>
      <w:r>
        <w:t>In the context of the Financial Materiality Assessment for CSRD, a first dedicated materiality assessment for social and governance risks was executed in 2024.</w:t>
      </w:r>
    </w:p>
    <w:p>
      <w:r>
        <w:t>As a follow-up step, a more structural risk identification and materiality assessment for social risks is being developed, also with the aim to integrate its conclusions into the different building blocks of KBC’s Risk Management Framework and CSRD reporting.</w:t>
      </w:r>
    </w:p>
    <w:p>
      <w:r>
        <w:t>Within our approach, we identify and estimate the impact of several types of social risk drivers on KBC.</w:t>
      </w:r>
    </w:p>
    <w:p>
      <w:r>
        <w:t>When performing this assessment, for every risk type separately, we, consider similar social sustainability matters as included in the Corporate Sustainability Reporting Directive see below table with ‘social factors’.</w:t>
      </w:r>
    </w:p>
    <w:p>
      <w:r>
        <w:t>More specifically, it concerns, gender equality and equal pay for work of equal value, training and skills development, employment and inclusion of people with disabilities, measures against violence and harassment in the workplace and diversity.</w:t>
      </w:r>
    </w:p>
    <w:p>
      <w:r>
        <w:t>The above-mentioned social risk factors are driven by changes in three risk drivers, Policy and regulation Risks associated with policy or regulation changes/introductions regarding emerging social factors.</w:t>
      </w:r>
    </w:p>
    <w:p>
      <w:r>
        <w:t>Societal preferences Risks of changes in workforces’, clients’, suppliers’ and communities' behaviour and market/investor sentiment, uncertainty in market signals, client/community perceptions of an organisation’s socially responsible behaviour.</w:t>
      </w:r>
    </w:p>
    <w:p>
      <w:r>
        <w:t>In 2024, we made significant improvements related to climate stress testing and developed an integrated climate stress test, targeting all aspects of our activities including lending, insurance and investments, etc.</w:t>
      </w:r>
    </w:p>
    <w:p>
      <w:r>
        <w:t>These scenarios and assumed impacts target our most vulnerable activities as identified in the Environmental Risk Impact Map.</w:t>
      </w:r>
    </w:p>
    <w:p>
      <w:r>
        <w:t>To specifically assess the capital adequacy of our insurer, two scenarios related to non-climate environmental risks pollution and biodiversity loss were added in which mortality rates and healthcare costs increase.</w:t>
      </w:r>
    </w:p>
    <w:p>
      <w:r>
        <w:t>A dedicated social risk scenario is also included which assumes that the materialisation of social risk leads to a decrease in the creditworthiness of counterparties in social-risk-sensitive sectors such as chemicals and healthcare and downgrades of countries with low external social-risk ratings.</w:t>
      </w:r>
    </w:p>
    <w:p>
      <w:r>
        <w:t>Besides the main scenario, which is based on a severe stagflation scenario triggered by geopolitical tension, we assume that the impact of climate change is felt earlier and more intensely than expected.</w:t>
      </w:r>
    </w:p>
    <w:p>
      <w:r>
        <w:t>EIOPA’s core responsibilities are to support the stability of the financial system, transparency of markets and financial products, as well as the protection of insurance policyholders, pension scheme members and beneficiaries.</w:t>
      </w:r>
    </w:p>
    <w:p>
      <w:r>
        <w:t>It is responsible for supervising the financial markets and listed companies, authorising and supervising certain categories of financial institutions, overseeing compliance by financial intermediaries with codes of conduct and supervising the marketing of investment products to the general public, as well as for the ‘social supervision’ of supplementary pensions.</w:t>
      </w:r>
    </w:p>
    <w:p>
      <w:r>
        <w:t>Risk appetite Risk appetite, as defined by the Board of Directors, is the amount and type of risk that KBC is able and willing to accept in pursuit of its strategic objectives.</w:t>
      </w:r>
    </w:p>
    <w:p>
      <w:r>
        <w:t>Solvency II Solvency II is a project, initiated by the European Commission in 2001, which establishes capital requirements and risk management standards that will apply across the EU and will affect all areas of an insurer’s operations.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