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3AE98" w14:textId="77777777" w:rsidR="00C06F60" w:rsidRDefault="00000000">
      <w:r>
        <w:t>DSK Bank continues to rely on its sustainable risk management framework, including regular monitoring and evaluation of risks by the relevant responsible units.</w:t>
      </w:r>
    </w:p>
    <w:p w14:paraId="5FDE0669" w14:textId="77777777" w:rsidR="00C06F60" w:rsidRDefault="00000000">
      <w:r>
        <w:t>The bank strictly adheres to both regulatory requirements and internal risk management policies.</w:t>
      </w:r>
    </w:p>
    <w:p w14:paraId="63A8DA76" w14:textId="77777777" w:rsidR="00C06F60" w:rsidRDefault="00000000">
      <w:r>
        <w:t>Reports and other obligations toward external authorities and regulatory bodies are prepared and delivered timely and the compliance with all legislative requirements is monitored by Strategy, finance and data management division, Legal directorate and Compliance directorate.</w:t>
      </w:r>
    </w:p>
    <w:p w14:paraId="5FD1C56B" w14:textId="77777777" w:rsidR="00C06F60" w:rsidRDefault="00000000">
      <w:r>
        <w:t>The operational risk is monitored, and regular reports are prepared and submitted to the Operational risk management committee measuring the events and the realized losses and the corresponding potential losses, as well as proposing measures for limiting of the operational risk In 2024, DSK Bank did not have any research and development activities.</w:t>
      </w:r>
    </w:p>
    <w:p w14:paraId="0D8F90F0" w14:textId="77777777" w:rsidR="00C06F60" w:rsidRDefault="00000000">
      <w:r>
        <w:t>The goal of liquidity risk management is to ensure that institution will always have sufficient level of liquidity to meet its liabilities when due, under both normal and stressed conditions, without incurring unacceptable losses from selling liquid assets or expensive financing.</w:t>
      </w:r>
    </w:p>
    <w:p w14:paraId="57B7EC5A" w14:textId="77777777" w:rsidR="00C06F60" w:rsidRDefault="00000000">
      <w:r>
        <w:t>As a result of the implementation of Currency Board in Bulgaria, the Bulgarian currency rate to the euro is fixed at 1.</w:t>
      </w:r>
    </w:p>
    <w:p w14:paraId="45F31621" w14:textId="77777777" w:rsidR="00C06F60" w:rsidRDefault="00000000">
      <w:r>
        <w:t>The risk management policy is aimed at limiting the possible losses from negative fluctuations of foreign currencies rates different from euro.</w:t>
      </w:r>
    </w:p>
    <w:p w14:paraId="19A4DD3D" w14:textId="77777777" w:rsidR="00C06F60" w:rsidRDefault="00000000">
      <w:r>
        <w:t>The developed rules and procedures for monitoring and evaluation of operational risk are in line with the requirements of EU and Bulgarian legislation, the standards of the OTP Group and best banking practice in operational risk management.</w:t>
      </w:r>
    </w:p>
    <w:p w14:paraId="64C81A31" w14:textId="77777777" w:rsidR="00C06F60" w:rsidRDefault="00000000">
      <w:r>
        <w:t>The units responsible for the management of the different types of risk carry out constant ex-post control on a sample basis and at different intervals in order to ensure compliance with the rules and procedures to ensure consistency, security and validity of the transactions.</w:t>
      </w:r>
    </w:p>
    <w:p w14:paraId="6BA1AA02" w14:textId="77777777" w:rsidR="00C06F60" w:rsidRDefault="00000000">
      <w:r>
        <w:t>Sustainable Development DSK Bank AD recognizes its role in shaping innovative business practices that combine economic growth with a positive impact on the environment and society.</w:t>
      </w:r>
    </w:p>
    <w:p w14:paraId="3403F142" w14:textId="77777777" w:rsidR="00C06F60" w:rsidRDefault="00000000">
      <w:r>
        <w:t>It strictly complies with environmental and human rights legislation and pursues ambitious goals to achieve carbon neutrality in its own operations by the end of 2025.</w:t>
      </w:r>
    </w:p>
    <w:p w14:paraId="164B456C" w14:textId="77777777" w:rsidR="00C06F60" w:rsidRDefault="00000000">
      <w:r>
        <w:t>The Bank is also committed to accelerating the transition to a low-carbon economy by providing opportunities for sustainable financing and interacting with clients to support them on the path of transition.</w:t>
      </w:r>
    </w:p>
    <w:p w14:paraId="60B30EE8" w14:textId="77777777" w:rsidR="00C06F60" w:rsidRDefault="00000000">
      <w:r>
        <w:lastRenderedPageBreak/>
        <w:t>The Bank manages risks related to environmental, social and governance factors and builds a culture of sustainability in our organization through education, training and various employee engagement initiatives.</w:t>
      </w:r>
    </w:p>
    <w:p w14:paraId="504FCFD8" w14:textId="328A8BE0" w:rsidR="00C06F60" w:rsidRDefault="00000000">
      <w:r>
        <w:t>The risk management units, the regulatory compliance unit and the including AMLCFT compliance unit are subject to review by the internal audit unit.</w:t>
      </w:r>
    </w:p>
    <w:p w14:paraId="5A4CE33A" w14:textId="77777777" w:rsidR="00C06F60" w:rsidRDefault="00000000">
      <w:r>
        <w:t>The internal control environment established in the Bank ensures the reliability of the reporting information.</w:t>
      </w:r>
    </w:p>
    <w:p w14:paraId="52B61B89" w14:textId="77777777" w:rsidR="00C06F60" w:rsidRDefault="00000000">
      <w:r>
        <w:t>In this way the Policy integrates sustainability considerations directly into Loan Origination and Monitoring, with evaluation of both the client and transaction ESG risk.</w:t>
      </w:r>
    </w:p>
    <w:p w14:paraId="2F4B2D17" w14:textId="459E5465" w:rsidR="00C06F60" w:rsidRDefault="00000000">
      <w:r>
        <w:t xml:space="preserve">Compliance with the partner s limits is ensured through their integration in the system for treasury transaction, and </w:t>
      </w:r>
      <w:proofErr w:type="spellStart"/>
      <w:r>
        <w:t>VaR</w:t>
      </w:r>
      <w:proofErr w:type="spellEnd"/>
      <w:r>
        <w:t>, Stop loss, BPV.</w:t>
      </w:r>
    </w:p>
    <w:p w14:paraId="720D886B" w14:textId="77777777" w:rsidR="00C06F60" w:rsidRDefault="00000000">
      <w:r>
        <w:t>Compliance Regulatory Directorate ensures proper risk identification, measurement and management in relation to the regulatory compliance, which DSK bank may suffer as result of incompliance with the applicable laws, supervisory requirements, codes of conduct and standards in the fields of compliance applicable for the banking activity.</w:t>
      </w:r>
    </w:p>
    <w:p w14:paraId="0C377280" w14:textId="77777777" w:rsidR="00C06F60" w:rsidRDefault="00000000">
      <w:r>
        <w:t>The unit performs a compliance assessment for the product proposals in regard to the existing legal framework, and, if appropriate, in regard to all known pending changes in the legislation and the supervisory requirements.</w:t>
      </w:r>
    </w:p>
    <w:p w14:paraId="4630551E" w14:textId="7F87E6B0" w:rsidR="00C06F60" w:rsidRDefault="00000000">
      <w:r>
        <w:t xml:space="preserve">The composition and the requirements on the composition of the management and supervisory bodies, the Audit </w:t>
      </w:r>
      <w:r w:rsidR="006B0D0B">
        <w:t>Committee, The</w:t>
      </w:r>
      <w:r>
        <w:t xml:space="preserve"> Articles of Association of DSK Bank AD.</w:t>
      </w:r>
    </w:p>
    <w:p w14:paraId="473E37B7" w14:textId="77777777" w:rsidR="00C06F60" w:rsidRDefault="00000000">
      <w:r>
        <w:t>Composition of the Audit Committee The Committee shall consist of no less than three members, elected and released with proposal for Assurance of Sustainability Reporting Act, as the majority of the Committee members, including its chairperson, must be persons external to and independent from the Bank.</w:t>
      </w:r>
    </w:p>
    <w:p w14:paraId="38EC3CD3" w14:textId="0824CD72" w:rsidR="00C06F60" w:rsidRDefault="00000000">
      <w:r>
        <w:t xml:space="preserve">Gives prior approval to the appointment and dismissal of the Head of the Internal Audit Function after obtaining recommendation from the Audit Committee, approves </w:t>
      </w:r>
      <w:proofErr w:type="gramStart"/>
      <w:r>
        <w:t>his her</w:t>
      </w:r>
      <w:proofErr w:type="gramEnd"/>
      <w:r>
        <w:t xml:space="preserve"> remuneration and bonus and sets objectives for and assesses </w:t>
      </w:r>
      <w:proofErr w:type="gramStart"/>
      <w:r>
        <w:t>his her</w:t>
      </w:r>
      <w:proofErr w:type="gramEnd"/>
      <w:r>
        <w:t xml:space="preserve"> performance.</w:t>
      </w:r>
    </w:p>
    <w:p w14:paraId="59E64038" w14:textId="20D822B1" w:rsidR="00C06F60" w:rsidRDefault="00000000">
      <w:r>
        <w:t>Defines, adopts and</w:t>
      </w:r>
      <w:r w:rsidR="006B0D0B">
        <w:t xml:space="preserve"> </w:t>
      </w:r>
      <w:r>
        <w:t xml:space="preserve">or discusses, </w:t>
      </w:r>
      <w:r w:rsidR="006B0D0B">
        <w:t>and or</w:t>
      </w:r>
      <w:r>
        <w:t xml:space="preserve"> reviews key policies, rules, methodologies, assessments and procedures of DSK Bank, makes decisions in compliance with the applicable legal and regulatory framework to ensure adequate and effective internal governance and performance of Bank s activities, including but not limited to</w:t>
      </w:r>
      <w:r w:rsidR="006B0D0B">
        <w:t xml:space="preserve"> </w:t>
      </w:r>
      <w:r>
        <w:t xml:space="preserve">1 for the organizational structure, activity and functioning of the internal </w:t>
      </w:r>
      <w:proofErr w:type="spellStart"/>
      <w:r>
        <w:t>contro</w:t>
      </w:r>
      <w:proofErr w:type="spellEnd"/>
      <w:r w:rsidR="006B0D0B">
        <w:t>.</w:t>
      </w:r>
    </w:p>
    <w:p w14:paraId="00545435" w14:textId="77777777" w:rsidR="006B0D0B" w:rsidRDefault="00000000">
      <w:r>
        <w:t>Functions of the Audit Committee of the Bank are as follows</w:t>
      </w:r>
      <w:r w:rsidR="006B0D0B">
        <w:t>.</w:t>
      </w:r>
    </w:p>
    <w:p w14:paraId="713A8ED0" w14:textId="643C8201" w:rsidR="00C06F60" w:rsidRDefault="00000000">
      <w:r>
        <w:lastRenderedPageBreak/>
        <w:t xml:space="preserve">To oversee the process of financial reporting and to submit recommendations and proposals </w:t>
      </w:r>
      <w:proofErr w:type="gramStart"/>
      <w:r>
        <w:t>in order to</w:t>
      </w:r>
      <w:proofErr w:type="gramEnd"/>
      <w:r>
        <w:t xml:space="preserve"> ensure its integrity and to oversee the establishment of accounting policies by the Bank.</w:t>
      </w:r>
    </w:p>
    <w:p w14:paraId="6E85C608" w14:textId="4D26320F" w:rsidR="00C06F60" w:rsidRDefault="00000000">
      <w:r>
        <w:t>The key assessed the internal controls at inputs and areas of judgement in the organisation level with respect to the assessment of expected credit losses are development and application of the related to the development of quantitative impairment models, including the and qualitative criteria for</w:t>
      </w:r>
      <w:r w:rsidR="006B0D0B">
        <w:t xml:space="preserve"> </w:t>
      </w:r>
      <w:r>
        <w:t>model documentation and the update frequency and reasonableness of the e identification of significant increase parameters and macro indicators of credit risk SICR criteria for applied.</w:t>
      </w:r>
    </w:p>
    <w:p w14:paraId="1D0B2681" w14:textId="77777777" w:rsidR="00C06F60" w:rsidRDefault="00000000">
      <w:r>
        <w:t>We performed subsequent events procedures focused on the development of the risk-based sample of loans and advances to customers, after the reporting period date, to assess the Bank's assumptions on the expected future cash flows.</w:t>
      </w:r>
    </w:p>
    <w:p w14:paraId="4FD0F79B" w14:textId="77777777" w:rsidR="00C06F60" w:rsidRDefault="00000000">
      <w:r>
        <w:t>Those charged with governance are responsible for overseeing the Bank s financial reporting process.</w:t>
      </w:r>
    </w:p>
    <w:p w14:paraId="1EB7DFDC" w14:textId="77777777" w:rsidR="00C06F60" w:rsidRDefault="00000000">
      <w:r>
        <w:t>As part of an audit in accordance with ISAs, we exercise professional judgment and maintain professional skepticism throughout the audit.</w:t>
      </w:r>
    </w:p>
    <w:p w14:paraId="0F13B9A4" w14:textId="77777777" w:rsidR="00C06F60" w:rsidRDefault="00000000">
      <w:r>
        <w:t>We are jointly and severally responsible for the performance of our audit and for the expressed by us audit opinion as per the requirements of the IFAASRA applicable in Bulgaria.</w:t>
      </w:r>
    </w:p>
    <w:p w14:paraId="02C57D55" w14:textId="77777777" w:rsidR="00C06F60" w:rsidRDefault="00000000">
      <w:r>
        <w:t>Wehereby confirm that the audit opinion expressed by us is consistent with the additional report, provided to Bank s audit committee, in compliance with the requirements of Art.</w:t>
      </w:r>
    </w:p>
    <w:p w14:paraId="6D65D48F" w14:textId="77777777" w:rsidR="00C06F60" w:rsidRDefault="00000000">
      <w:r>
        <w:t>An Audit Committee is functioning within the Bank and is in charge of monitoring the work of external auditors, internal audit performance, risk management, accounting activities and financial reporting.</w:t>
      </w:r>
    </w:p>
    <w:p w14:paraId="76985202" w14:textId="77777777" w:rsidR="00C06F60" w:rsidRDefault="00000000">
      <w:r>
        <w:t>Management discusses with the Audit Committee the development, selection and disclosure of the Bank s critical accounting policies and estimates, and the application of these policies and estimates.</w:t>
      </w:r>
    </w:p>
    <w:p w14:paraId="4C8F0240" w14:textId="77777777" w:rsidR="00C06F60" w:rsidRDefault="00000000">
      <w:r>
        <w:t>Impact of the climate risk on estimates and judgements Based on assessment of the materiality of climate-related and environmental risks, the Bank incorporates climate-related and ecological matters in its estimates and analyses.</w:t>
      </w:r>
    </w:p>
    <w:p w14:paraId="25561DE7" w14:textId="592D734F" w:rsidR="00C06F60" w:rsidRDefault="00000000">
      <w:r>
        <w:t>The results of the physical risk analysis are used to determine risk indicators monitored by the Bank, which are integrated in the risk management framework for example, operational risk indicators for natural disasters.</w:t>
      </w:r>
    </w:p>
    <w:p w14:paraId="73C5F9C9" w14:textId="77777777" w:rsidR="00C06F60" w:rsidRDefault="00000000">
      <w:r>
        <w:t>These risks are part of the wider strategy for risk management aligned to the requirements of IFRS 9.</w:t>
      </w:r>
    </w:p>
    <w:p w14:paraId="0D0C902E" w14:textId="77777777" w:rsidR="00C06F60" w:rsidRDefault="00000000">
      <w:r>
        <w:lastRenderedPageBreak/>
        <w:t>Management is closely monitoring relevant changes and developments in climate-related regulations.</w:t>
      </w:r>
    </w:p>
    <w:p w14:paraId="3603E770" w14:textId="77777777" w:rsidR="00C06F60" w:rsidRDefault="00000000">
      <w:r>
        <w:t>The goal of liquidity risk management of the Bank is to ensure that it will always have sufficient level of liquidity to meet its liabilities when due, under both normal and stressed conditions, without incurring unacceptable losses from selling liquid assets or expensive financing.</w:t>
      </w:r>
    </w:p>
    <w:p w14:paraId="4ED28C67" w14:textId="77777777" w:rsidR="00C06F60" w:rsidRDefault="00000000">
      <w:r>
        <w:t>As a result of the implementation of Currency Board in Bulgaria, the Bulgarian currency rate to the euro is fixed at 1.</w:t>
      </w:r>
    </w:p>
    <w:p w14:paraId="7E6127A7" w14:textId="77777777" w:rsidR="00C06F60" w:rsidRDefault="00000000">
      <w:r>
        <w:t>The risk management policy is aimed at limiting the possible losses from negative fluctuations of foreign currencies rates different from euro.</w:t>
      </w:r>
    </w:p>
    <w:p w14:paraId="703B2282" w14:textId="3FAD72BE" w:rsidR="00C06F60" w:rsidRDefault="00000000">
      <w:r>
        <w:t>In November 2024 DSK Bank further improved its assessment of indications for a significant increase in credit risk by adding to the probability of default measurement other factors reflecting novel risks inflation, interest rates, geopolitical risk, supply chain disruption risk, climate risk.</w:t>
      </w:r>
    </w:p>
    <w:p w14:paraId="35BA8260" w14:textId="77777777" w:rsidR="006B0D0B" w:rsidRDefault="00000000">
      <w:r>
        <w:t>Currently, the models developed and used in the risk management process of the Bank are three major types</w:t>
      </w:r>
      <w:r w:rsidR="006B0D0B">
        <w:t xml:space="preserve"> </w:t>
      </w:r>
      <w:r>
        <w:t>e Application PD model</w:t>
      </w:r>
      <w:r w:rsidR="006B0D0B">
        <w:t>s.</w:t>
      </w:r>
    </w:p>
    <w:p w14:paraId="27A7C432" w14:textId="116CF536" w:rsidR="00C06F60" w:rsidRDefault="00000000">
      <w:r>
        <w:t>The purpose of application PD model is to provide a reliable tool quantitative measurement for prediction of the future debt service by customers applying for credit.</w:t>
      </w:r>
    </w:p>
    <w:p w14:paraId="6A1E8C73" w14:textId="77777777" w:rsidR="00C06F60" w:rsidRDefault="00000000">
      <w:r>
        <w:t>For such financial instruments the Bank measures ECL over the period that it is exposed to credit risk and ECL would not be mitigated by credit risk management actions, even if that period extends beyond the maximum contractual period.</w:t>
      </w:r>
    </w:p>
    <w:p w14:paraId="30FF1343" w14:textId="77777777" w:rsidR="00C06F60" w:rsidRDefault="00000000">
      <w:r>
        <w:t>The developed rules and procedures for monitoring and evaluation of operational risk are in line with the requirements of EU and Bulgarian legislation, the standards of the OTP Group and best banking practice in operational risk management.</w:t>
      </w:r>
    </w:p>
    <w:p w14:paraId="4492B201" w14:textId="557BA01A" w:rsidR="00C06F60" w:rsidRDefault="00000000">
      <w:r>
        <w:t>In cases when IT systems are implemented, the assessment shall be made by the unit</w:t>
      </w:r>
      <w:r w:rsidR="006B0D0B">
        <w:t xml:space="preserve"> </w:t>
      </w:r>
      <w:r>
        <w:t>which has have defined the business requirements of the development.</w:t>
      </w:r>
    </w:p>
    <w:p w14:paraId="4AC3A0D6" w14:textId="77777777" w:rsidR="00C06F60" w:rsidRDefault="00000000">
      <w:r>
        <w:t>The units responsible for the management of the different types of risk carry out constant ex-post control on a sample basis and at different intervals in order to ensure compliance with the rules and procedures to ensure consistency, security and validity of the transactions.</w:t>
      </w:r>
    </w:p>
    <w:p w14:paraId="4DFE0EBA" w14:textId="77777777" w:rsidR="00C06F60" w:rsidRDefault="00000000">
      <w:r>
        <w:t>In 2024, The purpose of the unit is to develop the ICT risk management framework in DSK Bank group as well as to establish controls over the monitoring, measurement, assessment and mitigation of those risks.</w:t>
      </w:r>
    </w:p>
    <w:p w14:paraId="2687DF5F" w14:textId="77777777" w:rsidR="00C06F60" w:rsidRDefault="00000000">
      <w:r>
        <w:t>Risks related to third-party suppliers of services are managed through the third-party assignment risk management framework.</w:t>
      </w:r>
    </w:p>
    <w:p w14:paraId="45910545" w14:textId="77777777" w:rsidR="00C06F60" w:rsidRDefault="00000000">
      <w:r>
        <w:lastRenderedPageBreak/>
        <w:t>The Bank together with OTP performs internal analysis of the size, type, and allocation of the required capital and assesses the need for an increase in regulatory required capital.</w:t>
      </w:r>
    </w:p>
    <w:p w14:paraId="67840606" w14:textId="77777777" w:rsidR="00C06F60" w:rsidRDefault="00000000">
      <w:r>
        <w:t>Unofficial translation from Bulgarian 84 DSK Bank AD Separate Financial Statements for 2024 In connection with the implementation of the International regulatory framework Basel III for Banks additional capital buffers consistently are introduced.</w:t>
      </w:r>
    </w:p>
    <w:p w14:paraId="4EE80BD7" w14:textId="77777777" w:rsidR="00C06F60" w:rsidRDefault="00000000">
      <w:r>
        <w:t>According to the Remuneration Policy, certain members of the identified management personnel are entitled to a performance-based bonus.</w:t>
      </w:r>
    </w:p>
    <w:p w14:paraId="371B1404" w14:textId="77777777" w:rsidR="00C06F60" w:rsidRDefault="00000000">
      <w:r>
        <w:t>The share price is determined by the Supervisory Board of OTP Bank within 10 days before settlement of the performance-based remuneration, based on the average of the daily prices of the ordinary shares issued by OTP Bank quoted at the Budapest Stock Exchange on the three trading days preceding the day of the decision.</w:t>
      </w:r>
    </w:p>
    <w:p w14:paraId="24DBC049" w14:textId="77777777" w:rsidR="00C06F60" w:rsidRDefault="00000000">
      <w:r>
        <w:t>The Bank has developed internal control rules and procedures, in order to ensure compliance with the legislative framework described above.</w:t>
      </w:r>
    </w:p>
    <w:sectPr w:rsidR="00C06F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1025832">
    <w:abstractNumId w:val="8"/>
  </w:num>
  <w:num w:numId="2" w16cid:durableId="1200125464">
    <w:abstractNumId w:val="6"/>
  </w:num>
  <w:num w:numId="3" w16cid:durableId="1036270629">
    <w:abstractNumId w:val="5"/>
  </w:num>
  <w:num w:numId="4" w16cid:durableId="1776056855">
    <w:abstractNumId w:val="4"/>
  </w:num>
  <w:num w:numId="5" w16cid:durableId="1889566030">
    <w:abstractNumId w:val="7"/>
  </w:num>
  <w:num w:numId="6" w16cid:durableId="979726576">
    <w:abstractNumId w:val="3"/>
  </w:num>
  <w:num w:numId="7" w16cid:durableId="914239409">
    <w:abstractNumId w:val="2"/>
  </w:num>
  <w:num w:numId="8" w16cid:durableId="1972782539">
    <w:abstractNumId w:val="1"/>
  </w:num>
  <w:num w:numId="9" w16cid:durableId="2145005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364D"/>
    <w:rsid w:val="004F5755"/>
    <w:rsid w:val="006B0D0B"/>
    <w:rsid w:val="00AA1D8D"/>
    <w:rsid w:val="00B47730"/>
    <w:rsid w:val="00C06F60"/>
    <w:rsid w:val="00CB0664"/>
    <w:rsid w:val="00F57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B91435"/>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4</cp:revision>
  <dcterms:created xsi:type="dcterms:W3CDTF">2013-12-23T23:15:00Z</dcterms:created>
  <dcterms:modified xsi:type="dcterms:W3CDTF">2025-08-03T17:21:00Z</dcterms:modified>
  <cp:category/>
</cp:coreProperties>
</file>